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8AE" w:rsidRPr="00E7743D" w:rsidRDefault="004C2A5D" w:rsidP="00331F65">
      <w:pPr>
        <w:jc w:val="center"/>
        <w:rPr>
          <w:b/>
          <w:sz w:val="23"/>
          <w:szCs w:val="23"/>
        </w:rPr>
      </w:pPr>
      <w:r w:rsidRPr="00E7743D">
        <w:rPr>
          <w:b/>
          <w:sz w:val="23"/>
          <w:szCs w:val="23"/>
          <w:lang w:val="en-CA"/>
        </w:rPr>
        <w:fldChar w:fldCharType="begin"/>
      </w:r>
      <w:r w:rsidR="004378AE" w:rsidRPr="00E7743D">
        <w:rPr>
          <w:b/>
          <w:sz w:val="23"/>
          <w:szCs w:val="23"/>
          <w:lang w:val="en-CA"/>
        </w:rPr>
        <w:instrText xml:space="preserve"> SEQ CHAPTER \h \r 1</w:instrText>
      </w:r>
      <w:r w:rsidRPr="00E7743D">
        <w:rPr>
          <w:b/>
          <w:sz w:val="23"/>
          <w:szCs w:val="23"/>
          <w:lang w:val="en-CA"/>
        </w:rPr>
        <w:fldChar w:fldCharType="end"/>
      </w:r>
      <w:r w:rsidR="004378AE" w:rsidRPr="00E7743D">
        <w:rPr>
          <w:b/>
          <w:bCs/>
          <w:sz w:val="23"/>
          <w:szCs w:val="23"/>
          <w:u w:val="single"/>
        </w:rPr>
        <w:t>Corporate Credit Card Policy</w:t>
      </w:r>
    </w:p>
    <w:p w:rsidR="004378AE" w:rsidRPr="00E7743D" w:rsidRDefault="004378AE" w:rsidP="004378AE">
      <w:pPr>
        <w:rPr>
          <w:sz w:val="23"/>
          <w:szCs w:val="23"/>
        </w:rPr>
      </w:pPr>
      <w:r w:rsidRPr="00E7743D">
        <w:rPr>
          <w:sz w:val="23"/>
          <w:szCs w:val="23"/>
        </w:rPr>
        <w:tab/>
      </w:r>
      <w:r w:rsidRPr="00E7743D">
        <w:rPr>
          <w:sz w:val="23"/>
          <w:szCs w:val="23"/>
        </w:rPr>
        <w:tab/>
      </w:r>
      <w:r w:rsidRPr="00E7743D">
        <w:rPr>
          <w:sz w:val="23"/>
          <w:szCs w:val="23"/>
        </w:rPr>
        <w:tab/>
      </w:r>
      <w:r w:rsidRPr="00E7743D">
        <w:rPr>
          <w:sz w:val="23"/>
          <w:szCs w:val="23"/>
        </w:rPr>
        <w:tab/>
      </w:r>
      <w:r w:rsidRPr="00E7743D">
        <w:rPr>
          <w:sz w:val="23"/>
          <w:szCs w:val="23"/>
        </w:rPr>
        <w:tab/>
      </w:r>
      <w:r w:rsidRPr="00E7743D">
        <w:rPr>
          <w:sz w:val="23"/>
          <w:szCs w:val="23"/>
        </w:rPr>
        <w:tab/>
      </w:r>
      <w:r w:rsidRPr="00E7743D">
        <w:rPr>
          <w:sz w:val="23"/>
          <w:szCs w:val="23"/>
        </w:rPr>
        <w:tab/>
      </w:r>
      <w:r w:rsidRPr="00E7743D">
        <w:rPr>
          <w:sz w:val="23"/>
          <w:szCs w:val="23"/>
        </w:rPr>
        <w:tab/>
      </w:r>
      <w:r w:rsidRPr="00E7743D">
        <w:rPr>
          <w:sz w:val="23"/>
          <w:szCs w:val="23"/>
        </w:rPr>
        <w:tab/>
      </w:r>
    </w:p>
    <w:p w:rsidR="004378AE" w:rsidRPr="00E7743D" w:rsidRDefault="00CF0763" w:rsidP="004378AE">
      <w:pPr>
        <w:rPr>
          <w:sz w:val="23"/>
          <w:szCs w:val="23"/>
        </w:rPr>
      </w:pPr>
      <w:r w:rsidRPr="00E7743D">
        <w:rPr>
          <w:sz w:val="23"/>
          <w:szCs w:val="23"/>
        </w:rPr>
        <w:t xml:space="preserve">With the exception of personal business travel </w:t>
      </w:r>
      <w:r w:rsidR="00EE4991">
        <w:rPr>
          <w:sz w:val="23"/>
          <w:szCs w:val="23"/>
        </w:rPr>
        <w:t>(</w:t>
      </w:r>
      <w:r w:rsidRPr="00E7743D">
        <w:rPr>
          <w:sz w:val="23"/>
          <w:szCs w:val="23"/>
        </w:rPr>
        <w:t xml:space="preserve">on behalf of </w:t>
      </w:r>
      <w:r w:rsidR="004378AE" w:rsidRPr="00E7743D">
        <w:rPr>
          <w:sz w:val="23"/>
          <w:szCs w:val="23"/>
        </w:rPr>
        <w:t>Andrews University</w:t>
      </w:r>
      <w:r w:rsidR="00EE4991">
        <w:rPr>
          <w:sz w:val="23"/>
          <w:szCs w:val="23"/>
        </w:rPr>
        <w:t>)</w:t>
      </w:r>
      <w:r w:rsidRPr="00E7743D">
        <w:rPr>
          <w:sz w:val="23"/>
          <w:szCs w:val="23"/>
        </w:rPr>
        <w:t xml:space="preserve"> that may be paid by the employee’s personal credit cards or checks, </w:t>
      </w:r>
      <w:r w:rsidRPr="00EE4991">
        <w:rPr>
          <w:b/>
          <w:sz w:val="23"/>
          <w:szCs w:val="23"/>
        </w:rPr>
        <w:t>AU</w:t>
      </w:r>
      <w:r w:rsidR="004378AE" w:rsidRPr="00EE4991">
        <w:rPr>
          <w:b/>
          <w:sz w:val="23"/>
          <w:szCs w:val="23"/>
        </w:rPr>
        <w:t xml:space="preserve"> </w:t>
      </w:r>
      <w:r w:rsidRPr="00EE4991">
        <w:rPr>
          <w:b/>
          <w:sz w:val="23"/>
          <w:szCs w:val="23"/>
        </w:rPr>
        <w:t>expenses are to be paid for by cash, purchase order, corporate check, wire transfer or the AU corporate credit card.</w:t>
      </w:r>
      <w:r w:rsidRPr="00E7743D">
        <w:rPr>
          <w:sz w:val="23"/>
          <w:szCs w:val="23"/>
        </w:rPr>
        <w:t xml:space="preserve">  </w:t>
      </w:r>
      <w:r w:rsidR="004378AE" w:rsidRPr="00E7743D">
        <w:rPr>
          <w:sz w:val="23"/>
          <w:szCs w:val="23"/>
        </w:rPr>
        <w:t xml:space="preserve">In recognition of this and in an attempt to approve obtaining a </w:t>
      </w:r>
      <w:r w:rsidR="002068C1">
        <w:rPr>
          <w:sz w:val="23"/>
          <w:szCs w:val="23"/>
        </w:rPr>
        <w:t xml:space="preserve">corporate credit </w:t>
      </w:r>
      <w:r w:rsidR="004378AE" w:rsidRPr="00E7743D">
        <w:rPr>
          <w:sz w:val="23"/>
          <w:szCs w:val="23"/>
        </w:rPr>
        <w:t>card only where there is a demonstrated need, the following recommendations are made for obtaining and retaining a corporate card.</w:t>
      </w:r>
    </w:p>
    <w:p w:rsidR="004378AE" w:rsidRPr="00E7743D" w:rsidRDefault="004378AE" w:rsidP="004378AE">
      <w:pPr>
        <w:pStyle w:val="Level1"/>
        <w:tabs>
          <w:tab w:val="left" w:pos="720"/>
        </w:tabs>
        <w:ind w:left="0"/>
        <w:rPr>
          <w:sz w:val="23"/>
          <w:szCs w:val="23"/>
        </w:rPr>
      </w:pPr>
      <w:r w:rsidRPr="00E7743D">
        <w:rPr>
          <w:sz w:val="23"/>
          <w:szCs w:val="23"/>
        </w:rPr>
        <w:t xml:space="preserve">  </w:t>
      </w:r>
    </w:p>
    <w:p w:rsidR="004378AE" w:rsidRPr="00E7743D" w:rsidRDefault="004378AE" w:rsidP="004378AE">
      <w:pPr>
        <w:pStyle w:val="Level1"/>
        <w:numPr>
          <w:ilvl w:val="0"/>
          <w:numId w:val="1"/>
        </w:numPr>
        <w:tabs>
          <w:tab w:val="left" w:pos="720"/>
        </w:tabs>
        <w:ind w:left="720" w:hanging="720"/>
        <w:rPr>
          <w:sz w:val="23"/>
          <w:szCs w:val="23"/>
        </w:rPr>
      </w:pPr>
      <w:r w:rsidRPr="00E7743D">
        <w:rPr>
          <w:sz w:val="23"/>
          <w:szCs w:val="23"/>
        </w:rPr>
        <w:t>Applicant must have a demonstrated history of financial responsibility.</w:t>
      </w:r>
    </w:p>
    <w:p w:rsidR="004378AE" w:rsidRPr="00E7743D" w:rsidRDefault="004378AE" w:rsidP="004378AE">
      <w:pPr>
        <w:pStyle w:val="Level1"/>
        <w:tabs>
          <w:tab w:val="left" w:pos="720"/>
        </w:tabs>
        <w:rPr>
          <w:sz w:val="23"/>
          <w:szCs w:val="23"/>
        </w:rPr>
      </w:pPr>
    </w:p>
    <w:p w:rsidR="004378AE" w:rsidRPr="00E7743D" w:rsidRDefault="004378AE" w:rsidP="00B035CA">
      <w:pPr>
        <w:pStyle w:val="Level1"/>
        <w:numPr>
          <w:ilvl w:val="0"/>
          <w:numId w:val="1"/>
        </w:numPr>
        <w:tabs>
          <w:tab w:val="left" w:pos="720"/>
        </w:tabs>
        <w:ind w:left="720" w:hanging="720"/>
        <w:rPr>
          <w:sz w:val="23"/>
          <w:szCs w:val="23"/>
        </w:rPr>
      </w:pPr>
      <w:r w:rsidRPr="00E7743D">
        <w:rPr>
          <w:sz w:val="23"/>
          <w:szCs w:val="23"/>
        </w:rPr>
        <w:t xml:space="preserve">Applicant and supervisor </w:t>
      </w:r>
      <w:r w:rsidR="006D1BA4" w:rsidRPr="00E7743D">
        <w:rPr>
          <w:sz w:val="23"/>
          <w:szCs w:val="23"/>
        </w:rPr>
        <w:t>must</w:t>
      </w:r>
      <w:r w:rsidRPr="00E7743D">
        <w:rPr>
          <w:sz w:val="23"/>
          <w:szCs w:val="23"/>
        </w:rPr>
        <w:t xml:space="preserve"> complete and submit</w:t>
      </w:r>
      <w:r w:rsidR="000E09CA" w:rsidRPr="00E7743D">
        <w:rPr>
          <w:sz w:val="23"/>
          <w:szCs w:val="23"/>
        </w:rPr>
        <w:t xml:space="preserve"> a</w:t>
      </w:r>
      <w:r w:rsidRPr="00E7743D">
        <w:rPr>
          <w:sz w:val="23"/>
          <w:szCs w:val="23"/>
        </w:rPr>
        <w:t xml:space="preserve"> C</w:t>
      </w:r>
      <w:r w:rsidR="00D15088" w:rsidRPr="00E7743D">
        <w:rPr>
          <w:sz w:val="23"/>
          <w:szCs w:val="23"/>
        </w:rPr>
        <w:t xml:space="preserve">ORPORATE CREDIT CARD APPLICATION </w:t>
      </w:r>
      <w:r w:rsidRPr="00E7743D">
        <w:rPr>
          <w:sz w:val="23"/>
          <w:szCs w:val="23"/>
        </w:rPr>
        <w:t xml:space="preserve">to Financial Records for approval </w:t>
      </w:r>
      <w:r w:rsidR="002B4B4D" w:rsidRPr="00E7743D">
        <w:rPr>
          <w:sz w:val="23"/>
          <w:szCs w:val="23"/>
        </w:rPr>
        <w:t>by</w:t>
      </w:r>
      <w:r w:rsidRPr="00E7743D">
        <w:rPr>
          <w:sz w:val="23"/>
          <w:szCs w:val="23"/>
        </w:rPr>
        <w:t xml:space="preserve"> the Chief Financial Officer</w:t>
      </w:r>
      <w:r w:rsidR="00527419" w:rsidRPr="00E7743D">
        <w:rPr>
          <w:sz w:val="23"/>
          <w:szCs w:val="23"/>
        </w:rPr>
        <w:t xml:space="preserve"> (CFO)</w:t>
      </w:r>
      <w:r w:rsidR="00D15088" w:rsidRPr="00E7743D">
        <w:rPr>
          <w:sz w:val="23"/>
          <w:szCs w:val="23"/>
        </w:rPr>
        <w:t>.</w:t>
      </w:r>
      <w:r w:rsidR="00B035CA" w:rsidRPr="00E7743D">
        <w:rPr>
          <w:sz w:val="23"/>
          <w:szCs w:val="23"/>
        </w:rPr>
        <w:t xml:space="preserve">  If, in the opinion of the CFO, an application does not warrant approval, the Financial Management Committee will serve as the appeal body if the applicant so chooses.</w:t>
      </w:r>
    </w:p>
    <w:p w:rsidR="004378AE" w:rsidRPr="00E7743D" w:rsidRDefault="004378AE" w:rsidP="004378AE">
      <w:pPr>
        <w:numPr>
          <w:ilvl w:val="12"/>
          <w:numId w:val="0"/>
        </w:numPr>
        <w:rPr>
          <w:sz w:val="23"/>
          <w:szCs w:val="23"/>
        </w:rPr>
      </w:pPr>
    </w:p>
    <w:p w:rsidR="004378AE" w:rsidRPr="00E7743D" w:rsidRDefault="004378AE" w:rsidP="004378AE">
      <w:pPr>
        <w:pStyle w:val="Level1"/>
        <w:numPr>
          <w:ilvl w:val="0"/>
          <w:numId w:val="1"/>
        </w:numPr>
        <w:tabs>
          <w:tab w:val="left" w:pos="720"/>
        </w:tabs>
        <w:ind w:left="720" w:hanging="720"/>
        <w:rPr>
          <w:sz w:val="23"/>
          <w:szCs w:val="23"/>
        </w:rPr>
      </w:pPr>
      <w:r w:rsidRPr="00E7743D">
        <w:rPr>
          <w:sz w:val="23"/>
          <w:szCs w:val="23"/>
        </w:rPr>
        <w:t xml:space="preserve">Upon receiving </w:t>
      </w:r>
      <w:r w:rsidR="00F81A68" w:rsidRPr="00E7743D">
        <w:rPr>
          <w:sz w:val="23"/>
          <w:szCs w:val="23"/>
        </w:rPr>
        <w:t xml:space="preserve">the credit card </w:t>
      </w:r>
      <w:r w:rsidR="00D15088" w:rsidRPr="00E7743D">
        <w:rPr>
          <w:sz w:val="23"/>
          <w:szCs w:val="23"/>
        </w:rPr>
        <w:t xml:space="preserve">and activating </w:t>
      </w:r>
      <w:r w:rsidR="009E6115" w:rsidRPr="00E7743D">
        <w:rPr>
          <w:sz w:val="23"/>
          <w:szCs w:val="23"/>
        </w:rPr>
        <w:t>the online viewing feature</w:t>
      </w:r>
      <w:r w:rsidRPr="00E7743D">
        <w:rPr>
          <w:sz w:val="23"/>
          <w:szCs w:val="23"/>
        </w:rPr>
        <w:t xml:space="preserve">, the applicant or designee </w:t>
      </w:r>
      <w:r w:rsidR="00212FE6" w:rsidRPr="00E7743D">
        <w:rPr>
          <w:sz w:val="23"/>
          <w:szCs w:val="23"/>
        </w:rPr>
        <w:t>agrees to do the following—</w:t>
      </w:r>
    </w:p>
    <w:p w:rsidR="004378AE" w:rsidRPr="00E7743D" w:rsidRDefault="004378AE" w:rsidP="004378AE">
      <w:pPr>
        <w:pStyle w:val="ListParagraph"/>
        <w:rPr>
          <w:sz w:val="23"/>
          <w:szCs w:val="23"/>
        </w:rPr>
      </w:pPr>
    </w:p>
    <w:p w:rsidR="002D27B5" w:rsidRPr="00E7743D" w:rsidRDefault="00543F38" w:rsidP="002D27B5">
      <w:pPr>
        <w:pStyle w:val="Level1"/>
        <w:numPr>
          <w:ilvl w:val="0"/>
          <w:numId w:val="2"/>
        </w:numPr>
        <w:tabs>
          <w:tab w:val="left" w:pos="720"/>
        </w:tabs>
        <w:rPr>
          <w:sz w:val="23"/>
          <w:szCs w:val="23"/>
        </w:rPr>
      </w:pPr>
      <w:proofErr w:type="gramStart"/>
      <w:r w:rsidRPr="00E7743D">
        <w:rPr>
          <w:sz w:val="23"/>
          <w:szCs w:val="23"/>
        </w:rPr>
        <w:t>periodically</w:t>
      </w:r>
      <w:proofErr w:type="gramEnd"/>
      <w:r w:rsidRPr="00E7743D">
        <w:rPr>
          <w:sz w:val="23"/>
          <w:szCs w:val="23"/>
        </w:rPr>
        <w:t xml:space="preserve"> monitor card transactions to verify their accuracy and validity</w:t>
      </w:r>
      <w:r w:rsidR="00212FE6" w:rsidRPr="00E7743D">
        <w:rPr>
          <w:sz w:val="23"/>
          <w:szCs w:val="23"/>
        </w:rPr>
        <w:t>.</w:t>
      </w:r>
    </w:p>
    <w:p w:rsidR="00624C5A" w:rsidRPr="00E7743D" w:rsidRDefault="00F85BFB" w:rsidP="002D27B5">
      <w:pPr>
        <w:pStyle w:val="Level1"/>
        <w:numPr>
          <w:ilvl w:val="0"/>
          <w:numId w:val="2"/>
        </w:numPr>
        <w:tabs>
          <w:tab w:val="left" w:pos="720"/>
        </w:tabs>
        <w:rPr>
          <w:sz w:val="23"/>
          <w:szCs w:val="23"/>
        </w:rPr>
      </w:pPr>
      <w:proofErr w:type="gramStart"/>
      <w:r>
        <w:rPr>
          <w:sz w:val="23"/>
          <w:szCs w:val="23"/>
        </w:rPr>
        <w:t>go</w:t>
      </w:r>
      <w:proofErr w:type="gramEnd"/>
      <w:r>
        <w:rPr>
          <w:sz w:val="23"/>
          <w:szCs w:val="23"/>
        </w:rPr>
        <w:t xml:space="preserve"> </w:t>
      </w:r>
      <w:r w:rsidR="00624C5A" w:rsidRPr="00E7743D">
        <w:rPr>
          <w:sz w:val="23"/>
          <w:szCs w:val="23"/>
        </w:rPr>
        <w:t xml:space="preserve">online and print a copy of the statement after the </w:t>
      </w:r>
      <w:r w:rsidR="0005291F" w:rsidRPr="00E7743D">
        <w:rPr>
          <w:sz w:val="23"/>
          <w:szCs w:val="23"/>
        </w:rPr>
        <w:t xml:space="preserve">statement cut-off on the </w:t>
      </w:r>
      <w:r w:rsidR="00624C5A" w:rsidRPr="00E7743D">
        <w:rPr>
          <w:sz w:val="23"/>
          <w:szCs w:val="23"/>
        </w:rPr>
        <w:t>27</w:t>
      </w:r>
      <w:r w:rsidR="00624C5A" w:rsidRPr="00E7743D">
        <w:rPr>
          <w:sz w:val="23"/>
          <w:szCs w:val="23"/>
          <w:vertAlign w:val="superscript"/>
        </w:rPr>
        <w:t>th</w:t>
      </w:r>
      <w:r w:rsidR="00624C5A" w:rsidRPr="00E7743D">
        <w:rPr>
          <w:sz w:val="23"/>
          <w:szCs w:val="23"/>
        </w:rPr>
        <w:t>.</w:t>
      </w:r>
      <w:r w:rsidR="0005291F" w:rsidRPr="00E7743D">
        <w:rPr>
          <w:sz w:val="23"/>
          <w:szCs w:val="23"/>
        </w:rPr>
        <w:t xml:space="preserve">  </w:t>
      </w:r>
      <w:r w:rsidR="00C14EA8" w:rsidRPr="00E7743D">
        <w:rPr>
          <w:b/>
          <w:sz w:val="23"/>
          <w:szCs w:val="23"/>
          <w:u w:val="single"/>
        </w:rPr>
        <w:t xml:space="preserve">Please do </w:t>
      </w:r>
      <w:r w:rsidR="0005291F" w:rsidRPr="00E7743D">
        <w:rPr>
          <w:b/>
          <w:sz w:val="23"/>
          <w:szCs w:val="23"/>
          <w:u w:val="single"/>
        </w:rPr>
        <w:t>not wait for the statement to arrive at the department.</w:t>
      </w:r>
    </w:p>
    <w:p w:rsidR="00E40498" w:rsidRPr="00E7743D" w:rsidRDefault="004378AE" w:rsidP="004378AE">
      <w:pPr>
        <w:pStyle w:val="Level1"/>
        <w:numPr>
          <w:ilvl w:val="0"/>
          <w:numId w:val="2"/>
        </w:numPr>
        <w:tabs>
          <w:tab w:val="left" w:pos="720"/>
        </w:tabs>
        <w:rPr>
          <w:sz w:val="23"/>
          <w:szCs w:val="23"/>
        </w:rPr>
      </w:pPr>
      <w:proofErr w:type="gramStart"/>
      <w:r w:rsidRPr="00E7743D">
        <w:rPr>
          <w:sz w:val="23"/>
          <w:szCs w:val="23"/>
        </w:rPr>
        <w:t>match</w:t>
      </w:r>
      <w:proofErr w:type="gramEnd"/>
      <w:r w:rsidRPr="00E7743D">
        <w:rPr>
          <w:sz w:val="23"/>
          <w:szCs w:val="23"/>
        </w:rPr>
        <w:t xml:space="preserve"> original</w:t>
      </w:r>
      <w:r w:rsidR="000B42E9" w:rsidRPr="00E7743D">
        <w:rPr>
          <w:sz w:val="23"/>
          <w:szCs w:val="23"/>
        </w:rPr>
        <w:t>, itemized,</w:t>
      </w:r>
      <w:r w:rsidRPr="00E7743D">
        <w:rPr>
          <w:sz w:val="23"/>
          <w:szCs w:val="23"/>
        </w:rPr>
        <w:t xml:space="preserve"> purchase receipts with the monthly statement postings</w:t>
      </w:r>
      <w:r w:rsidR="00793AB6" w:rsidRPr="00E7743D">
        <w:rPr>
          <w:sz w:val="23"/>
          <w:szCs w:val="23"/>
        </w:rPr>
        <w:t xml:space="preserve">, </w:t>
      </w:r>
      <w:r w:rsidRPr="00E7743D">
        <w:rPr>
          <w:sz w:val="23"/>
          <w:szCs w:val="23"/>
        </w:rPr>
        <w:t xml:space="preserve">tape the receipts to sheet(s) of paper, placing the receipts in </w:t>
      </w:r>
      <w:r w:rsidR="00212FE6" w:rsidRPr="00E7743D">
        <w:rPr>
          <w:sz w:val="23"/>
          <w:szCs w:val="23"/>
        </w:rPr>
        <w:t>the same order as the statement</w:t>
      </w:r>
      <w:r w:rsidR="00793AB6" w:rsidRPr="00E7743D">
        <w:rPr>
          <w:sz w:val="23"/>
          <w:szCs w:val="23"/>
        </w:rPr>
        <w:t xml:space="preserve">, and </w:t>
      </w:r>
      <w:r w:rsidRPr="00E7743D">
        <w:rPr>
          <w:sz w:val="23"/>
          <w:szCs w:val="23"/>
        </w:rPr>
        <w:t xml:space="preserve">write the AU account numbers </w:t>
      </w:r>
      <w:bookmarkStart w:id="0" w:name="_GoBack"/>
      <w:bookmarkEnd w:id="0"/>
      <w:r w:rsidR="00A716F8">
        <w:rPr>
          <w:b/>
          <w:i/>
          <w:sz w:val="23"/>
          <w:szCs w:val="23"/>
        </w:rPr>
        <w:t>at</w:t>
      </w:r>
      <w:r w:rsidRPr="00A716F8">
        <w:rPr>
          <w:b/>
          <w:i/>
          <w:sz w:val="23"/>
          <w:szCs w:val="23"/>
        </w:rPr>
        <w:t xml:space="preserve"> </w:t>
      </w:r>
      <w:r w:rsidR="00A716F8" w:rsidRPr="00A716F8">
        <w:rPr>
          <w:b/>
          <w:i/>
          <w:sz w:val="23"/>
          <w:szCs w:val="23"/>
        </w:rPr>
        <w:t>the bottom</w:t>
      </w:r>
      <w:r w:rsidR="00A716F8">
        <w:rPr>
          <w:sz w:val="23"/>
          <w:szCs w:val="23"/>
        </w:rPr>
        <w:t xml:space="preserve"> of </w:t>
      </w:r>
      <w:r w:rsidRPr="00E7743D">
        <w:rPr>
          <w:sz w:val="23"/>
          <w:szCs w:val="23"/>
        </w:rPr>
        <w:t>each receipt</w:t>
      </w:r>
      <w:r w:rsidR="00212FE6" w:rsidRPr="00E7743D">
        <w:rPr>
          <w:sz w:val="23"/>
          <w:szCs w:val="23"/>
        </w:rPr>
        <w:t>.</w:t>
      </w:r>
    </w:p>
    <w:p w:rsidR="00212FE6" w:rsidRPr="00E7743D" w:rsidRDefault="008B7740" w:rsidP="004378AE">
      <w:pPr>
        <w:pStyle w:val="Level1"/>
        <w:numPr>
          <w:ilvl w:val="0"/>
          <w:numId w:val="2"/>
        </w:numPr>
        <w:tabs>
          <w:tab w:val="left" w:pos="720"/>
        </w:tabs>
        <w:rPr>
          <w:sz w:val="23"/>
          <w:szCs w:val="23"/>
        </w:rPr>
      </w:pPr>
      <w:proofErr w:type="gramStart"/>
      <w:r w:rsidRPr="00E7743D">
        <w:rPr>
          <w:sz w:val="23"/>
          <w:szCs w:val="23"/>
        </w:rPr>
        <w:t>for</w:t>
      </w:r>
      <w:proofErr w:type="gramEnd"/>
      <w:r w:rsidRPr="00E7743D">
        <w:rPr>
          <w:sz w:val="23"/>
          <w:szCs w:val="23"/>
        </w:rPr>
        <w:t xml:space="preserve"> restaurant/meal receipts </w:t>
      </w:r>
      <w:r w:rsidR="00212FE6" w:rsidRPr="00E7743D">
        <w:rPr>
          <w:sz w:val="23"/>
          <w:szCs w:val="23"/>
        </w:rPr>
        <w:t>for business entertainment—</w:t>
      </w:r>
      <w:r w:rsidRPr="00E7743D">
        <w:rPr>
          <w:sz w:val="23"/>
          <w:szCs w:val="23"/>
        </w:rPr>
        <w:t xml:space="preserve">include names of </w:t>
      </w:r>
      <w:r w:rsidR="003352F9" w:rsidRPr="00E7743D">
        <w:rPr>
          <w:sz w:val="23"/>
          <w:szCs w:val="23"/>
        </w:rPr>
        <w:t xml:space="preserve">attendees </w:t>
      </w:r>
      <w:r w:rsidRPr="00E7743D">
        <w:rPr>
          <w:sz w:val="23"/>
          <w:szCs w:val="23"/>
        </w:rPr>
        <w:t>and the business purpose for the expenditure</w:t>
      </w:r>
      <w:r w:rsidR="003352F9" w:rsidRPr="00E7743D">
        <w:rPr>
          <w:sz w:val="23"/>
          <w:szCs w:val="23"/>
        </w:rPr>
        <w:t>s</w:t>
      </w:r>
      <w:r w:rsidR="00212FE6" w:rsidRPr="00E7743D">
        <w:rPr>
          <w:sz w:val="23"/>
          <w:szCs w:val="23"/>
        </w:rPr>
        <w:t>.</w:t>
      </w:r>
      <w:r w:rsidR="008E2BF0" w:rsidRPr="00E7743D">
        <w:rPr>
          <w:sz w:val="23"/>
          <w:szCs w:val="23"/>
        </w:rPr>
        <w:t xml:space="preserve">  Please adjust </w:t>
      </w:r>
      <w:r w:rsidR="00234CBA" w:rsidRPr="00E7743D">
        <w:rPr>
          <w:sz w:val="23"/>
          <w:szCs w:val="23"/>
        </w:rPr>
        <w:t>P</w:t>
      </w:r>
      <w:r w:rsidR="008E2BF0" w:rsidRPr="00E7743D">
        <w:rPr>
          <w:sz w:val="23"/>
          <w:szCs w:val="23"/>
        </w:rPr>
        <w:t xml:space="preserve">er </w:t>
      </w:r>
      <w:r w:rsidR="00234CBA" w:rsidRPr="00E7743D">
        <w:rPr>
          <w:sz w:val="23"/>
          <w:szCs w:val="23"/>
        </w:rPr>
        <w:t>D</w:t>
      </w:r>
      <w:r w:rsidR="008E2BF0" w:rsidRPr="00E7743D">
        <w:rPr>
          <w:sz w:val="23"/>
          <w:szCs w:val="23"/>
        </w:rPr>
        <w:t>iem reimbursement accordingly.</w:t>
      </w:r>
    </w:p>
    <w:p w:rsidR="00234CBA" w:rsidRPr="00E7743D" w:rsidRDefault="00234CBA" w:rsidP="00234CBA">
      <w:pPr>
        <w:pStyle w:val="Level1"/>
        <w:numPr>
          <w:ilvl w:val="0"/>
          <w:numId w:val="2"/>
        </w:numPr>
        <w:tabs>
          <w:tab w:val="left" w:pos="720"/>
        </w:tabs>
        <w:rPr>
          <w:sz w:val="23"/>
          <w:szCs w:val="23"/>
        </w:rPr>
      </w:pPr>
      <w:proofErr w:type="gramStart"/>
      <w:r w:rsidRPr="00872B30">
        <w:rPr>
          <w:b/>
          <w:sz w:val="23"/>
          <w:szCs w:val="23"/>
          <w:u w:val="single"/>
        </w:rPr>
        <w:t>not</w:t>
      </w:r>
      <w:proofErr w:type="gramEnd"/>
      <w:r w:rsidRPr="00872B30">
        <w:rPr>
          <w:b/>
          <w:sz w:val="23"/>
          <w:szCs w:val="23"/>
          <w:u w:val="single"/>
        </w:rPr>
        <w:t xml:space="preserve"> use the corporate card for personal meals</w:t>
      </w:r>
      <w:r w:rsidRPr="00E7743D">
        <w:rPr>
          <w:sz w:val="23"/>
          <w:szCs w:val="23"/>
        </w:rPr>
        <w:t xml:space="preserve"> (even if on business travel).  For personal restaurant/meal expense while on business travel, please use cash or personal credit cards.  Reimbursement of personal meal expense for day trips may be requested by submitting actual receipts via the Employee Expense Report.  Personal meals while on overnight business travel are covered under Per Diem on the Employee Expense Report.</w:t>
      </w:r>
    </w:p>
    <w:p w:rsidR="008B7740" w:rsidRPr="00E7743D" w:rsidRDefault="008B7740" w:rsidP="004378AE">
      <w:pPr>
        <w:pStyle w:val="Level1"/>
        <w:numPr>
          <w:ilvl w:val="0"/>
          <w:numId w:val="2"/>
        </w:numPr>
        <w:tabs>
          <w:tab w:val="left" w:pos="720"/>
        </w:tabs>
        <w:rPr>
          <w:sz w:val="23"/>
          <w:szCs w:val="23"/>
        </w:rPr>
      </w:pPr>
      <w:proofErr w:type="gramStart"/>
      <w:r w:rsidRPr="00E7743D">
        <w:rPr>
          <w:sz w:val="23"/>
          <w:szCs w:val="23"/>
        </w:rPr>
        <w:t>for</w:t>
      </w:r>
      <w:proofErr w:type="gramEnd"/>
      <w:r w:rsidRPr="00E7743D">
        <w:rPr>
          <w:sz w:val="23"/>
          <w:szCs w:val="23"/>
        </w:rPr>
        <w:t xml:space="preserve"> catering receipts</w:t>
      </w:r>
      <w:r w:rsidR="00234CBA" w:rsidRPr="00E7743D">
        <w:rPr>
          <w:sz w:val="23"/>
          <w:szCs w:val="23"/>
        </w:rPr>
        <w:t>—</w:t>
      </w:r>
      <w:r w:rsidRPr="00E7743D">
        <w:rPr>
          <w:sz w:val="23"/>
          <w:szCs w:val="23"/>
        </w:rPr>
        <w:t>include names of attendees, location of event, whether delivered or picked-up, and business purpose for the expenditure</w:t>
      </w:r>
      <w:r w:rsidR="003352F9" w:rsidRPr="00E7743D">
        <w:rPr>
          <w:sz w:val="23"/>
          <w:szCs w:val="23"/>
        </w:rPr>
        <w:t>s</w:t>
      </w:r>
      <w:r w:rsidR="00605245" w:rsidRPr="00E7743D">
        <w:rPr>
          <w:sz w:val="23"/>
          <w:szCs w:val="23"/>
        </w:rPr>
        <w:t>.</w:t>
      </w:r>
    </w:p>
    <w:p w:rsidR="00605245" w:rsidRPr="00E7743D" w:rsidRDefault="00605245" w:rsidP="004378AE">
      <w:pPr>
        <w:pStyle w:val="Level1"/>
        <w:numPr>
          <w:ilvl w:val="0"/>
          <w:numId w:val="2"/>
        </w:numPr>
        <w:tabs>
          <w:tab w:val="left" w:pos="720"/>
        </w:tabs>
        <w:rPr>
          <w:sz w:val="23"/>
          <w:szCs w:val="23"/>
        </w:rPr>
      </w:pPr>
      <w:proofErr w:type="gramStart"/>
      <w:r w:rsidRPr="00E7743D">
        <w:rPr>
          <w:sz w:val="23"/>
          <w:szCs w:val="23"/>
        </w:rPr>
        <w:t>for</w:t>
      </w:r>
      <w:proofErr w:type="gramEnd"/>
      <w:r w:rsidRPr="00E7743D">
        <w:rPr>
          <w:sz w:val="23"/>
          <w:szCs w:val="23"/>
        </w:rPr>
        <w:t xml:space="preserve"> gasoline/fuel expenses</w:t>
      </w:r>
      <w:r w:rsidR="00234CBA" w:rsidRPr="00E7743D">
        <w:rPr>
          <w:sz w:val="23"/>
          <w:szCs w:val="23"/>
        </w:rPr>
        <w:t>—</w:t>
      </w:r>
      <w:r w:rsidRPr="00E7743D">
        <w:rPr>
          <w:sz w:val="23"/>
          <w:szCs w:val="23"/>
        </w:rPr>
        <w:t xml:space="preserve">indicate whether for rental car or AU vehicle.  </w:t>
      </w:r>
      <w:r w:rsidRPr="00E7743D">
        <w:rPr>
          <w:b/>
          <w:sz w:val="23"/>
          <w:szCs w:val="23"/>
          <w:u w:val="single"/>
        </w:rPr>
        <w:t>Do not use the corporate card for fuel expenses when using personal vehicles for business travel.</w:t>
      </w:r>
      <w:r w:rsidRPr="00E7743D">
        <w:rPr>
          <w:sz w:val="23"/>
          <w:szCs w:val="23"/>
        </w:rPr>
        <w:t xml:space="preserve">  Fuel expenses are reimbursed through </w:t>
      </w:r>
      <w:r w:rsidR="007133A2" w:rsidRPr="00E7743D">
        <w:rPr>
          <w:sz w:val="23"/>
          <w:szCs w:val="23"/>
        </w:rPr>
        <w:t xml:space="preserve">employee expense reports by </w:t>
      </w:r>
      <w:r w:rsidRPr="00E7743D">
        <w:rPr>
          <w:sz w:val="23"/>
          <w:szCs w:val="23"/>
        </w:rPr>
        <w:t>filing for mileage.</w:t>
      </w:r>
    </w:p>
    <w:p w:rsidR="00E40498" w:rsidRPr="00E7743D" w:rsidRDefault="00E40498" w:rsidP="004378AE">
      <w:pPr>
        <w:pStyle w:val="Level1"/>
        <w:numPr>
          <w:ilvl w:val="0"/>
          <w:numId w:val="2"/>
        </w:numPr>
        <w:tabs>
          <w:tab w:val="left" w:pos="720"/>
        </w:tabs>
        <w:rPr>
          <w:sz w:val="23"/>
          <w:szCs w:val="23"/>
        </w:rPr>
      </w:pPr>
      <w:r w:rsidRPr="00E7743D">
        <w:rPr>
          <w:sz w:val="23"/>
          <w:szCs w:val="23"/>
        </w:rPr>
        <w:t xml:space="preserve">obtain the </w:t>
      </w:r>
      <w:r w:rsidR="004378AE" w:rsidRPr="00E7743D">
        <w:rPr>
          <w:sz w:val="23"/>
          <w:szCs w:val="23"/>
        </w:rPr>
        <w:t>supervisor’s approva</w:t>
      </w:r>
      <w:r w:rsidRPr="00E7743D">
        <w:rPr>
          <w:sz w:val="23"/>
          <w:szCs w:val="23"/>
        </w:rPr>
        <w:t>l and signature for the expenditure</w:t>
      </w:r>
      <w:r w:rsidR="00D76B24" w:rsidRPr="00E7743D">
        <w:rPr>
          <w:sz w:val="23"/>
          <w:szCs w:val="23"/>
        </w:rPr>
        <w:t>(s)</w:t>
      </w:r>
      <w:r w:rsidR="00605245" w:rsidRPr="00E7743D">
        <w:rPr>
          <w:sz w:val="23"/>
          <w:szCs w:val="23"/>
        </w:rPr>
        <w:t xml:space="preserve"> </w:t>
      </w:r>
      <w:r w:rsidRPr="00E7743D">
        <w:rPr>
          <w:sz w:val="23"/>
          <w:szCs w:val="23"/>
        </w:rPr>
        <w:t>and</w:t>
      </w:r>
    </w:p>
    <w:p w:rsidR="004378AE" w:rsidRPr="00E7743D" w:rsidRDefault="00543F38" w:rsidP="004378AE">
      <w:pPr>
        <w:pStyle w:val="Level1"/>
        <w:numPr>
          <w:ilvl w:val="0"/>
          <w:numId w:val="2"/>
        </w:numPr>
        <w:tabs>
          <w:tab w:val="left" w:pos="720"/>
        </w:tabs>
        <w:rPr>
          <w:sz w:val="23"/>
          <w:szCs w:val="23"/>
        </w:rPr>
      </w:pPr>
      <w:r w:rsidRPr="00E7743D">
        <w:rPr>
          <w:b/>
          <w:sz w:val="23"/>
          <w:szCs w:val="23"/>
          <w:u w:val="single"/>
        </w:rPr>
        <w:t xml:space="preserve">By the </w:t>
      </w:r>
      <w:r w:rsidR="00624C5A" w:rsidRPr="00E7743D">
        <w:rPr>
          <w:b/>
          <w:sz w:val="23"/>
          <w:szCs w:val="23"/>
          <w:u w:val="single"/>
        </w:rPr>
        <w:t>7</w:t>
      </w:r>
      <w:r w:rsidR="00624C5A" w:rsidRPr="00E7743D">
        <w:rPr>
          <w:b/>
          <w:sz w:val="23"/>
          <w:szCs w:val="23"/>
          <w:u w:val="single"/>
          <w:vertAlign w:val="superscript"/>
        </w:rPr>
        <w:t>th</w:t>
      </w:r>
      <w:r w:rsidR="00624C5A" w:rsidRPr="00E7743D">
        <w:rPr>
          <w:b/>
          <w:sz w:val="23"/>
          <w:szCs w:val="23"/>
          <w:u w:val="single"/>
        </w:rPr>
        <w:t xml:space="preserve"> </w:t>
      </w:r>
      <w:r w:rsidRPr="00E7743D">
        <w:rPr>
          <w:b/>
          <w:sz w:val="23"/>
          <w:szCs w:val="23"/>
          <w:u w:val="single"/>
        </w:rPr>
        <w:t>day of the month</w:t>
      </w:r>
      <w:r w:rsidRPr="00E7743D">
        <w:rPr>
          <w:sz w:val="23"/>
          <w:szCs w:val="23"/>
        </w:rPr>
        <w:t>,</w:t>
      </w:r>
      <w:r w:rsidR="004378AE" w:rsidRPr="00E7743D">
        <w:rPr>
          <w:sz w:val="23"/>
          <w:szCs w:val="23"/>
        </w:rPr>
        <w:t xml:space="preserve"> </w:t>
      </w:r>
      <w:r w:rsidR="00E40498" w:rsidRPr="00E7743D">
        <w:rPr>
          <w:sz w:val="23"/>
          <w:szCs w:val="23"/>
        </w:rPr>
        <w:t xml:space="preserve">submit the </w:t>
      </w:r>
      <w:r w:rsidR="0005291F" w:rsidRPr="00E7743D">
        <w:rPr>
          <w:sz w:val="23"/>
          <w:szCs w:val="23"/>
        </w:rPr>
        <w:t xml:space="preserve">copy of the </w:t>
      </w:r>
      <w:r w:rsidR="00E40498" w:rsidRPr="00E7743D">
        <w:rPr>
          <w:sz w:val="23"/>
          <w:szCs w:val="23"/>
        </w:rPr>
        <w:t>credit card statement and supporting documentation to A</w:t>
      </w:r>
      <w:r w:rsidR="004378AE" w:rsidRPr="00E7743D">
        <w:rPr>
          <w:sz w:val="23"/>
          <w:szCs w:val="23"/>
        </w:rPr>
        <w:t xml:space="preserve">ccounts </w:t>
      </w:r>
      <w:r w:rsidR="00E40498" w:rsidRPr="00E7743D">
        <w:rPr>
          <w:sz w:val="23"/>
          <w:szCs w:val="23"/>
        </w:rPr>
        <w:t>P</w:t>
      </w:r>
      <w:r w:rsidR="004378AE" w:rsidRPr="00E7743D">
        <w:rPr>
          <w:sz w:val="23"/>
          <w:szCs w:val="23"/>
        </w:rPr>
        <w:t xml:space="preserve">ayable </w:t>
      </w:r>
      <w:r w:rsidR="00E40498" w:rsidRPr="00E7743D">
        <w:rPr>
          <w:sz w:val="23"/>
          <w:szCs w:val="23"/>
        </w:rPr>
        <w:t xml:space="preserve">for </w:t>
      </w:r>
      <w:r w:rsidR="004378AE" w:rsidRPr="00E7743D">
        <w:rPr>
          <w:sz w:val="23"/>
          <w:szCs w:val="23"/>
        </w:rPr>
        <w:t>process</w:t>
      </w:r>
      <w:r w:rsidR="00E40498" w:rsidRPr="00E7743D">
        <w:rPr>
          <w:sz w:val="23"/>
          <w:szCs w:val="23"/>
        </w:rPr>
        <w:t>ing</w:t>
      </w:r>
      <w:r w:rsidR="008C18A8">
        <w:rPr>
          <w:sz w:val="23"/>
          <w:szCs w:val="23"/>
        </w:rPr>
        <w:t xml:space="preserve"> in Financial Records</w:t>
      </w:r>
      <w:r w:rsidR="004378AE" w:rsidRPr="00E7743D">
        <w:rPr>
          <w:sz w:val="23"/>
          <w:szCs w:val="23"/>
        </w:rPr>
        <w:t xml:space="preserve">. </w:t>
      </w:r>
    </w:p>
    <w:p w:rsidR="004378AE" w:rsidRPr="00E7743D" w:rsidRDefault="004378AE" w:rsidP="004378AE">
      <w:pPr>
        <w:numPr>
          <w:ilvl w:val="12"/>
          <w:numId w:val="0"/>
        </w:numPr>
        <w:rPr>
          <w:sz w:val="23"/>
          <w:szCs w:val="23"/>
        </w:rPr>
      </w:pPr>
    </w:p>
    <w:p w:rsidR="004378AE" w:rsidRPr="00E7743D" w:rsidRDefault="004378AE" w:rsidP="004378AE">
      <w:pPr>
        <w:pStyle w:val="Level1"/>
        <w:numPr>
          <w:ilvl w:val="0"/>
          <w:numId w:val="1"/>
        </w:numPr>
        <w:tabs>
          <w:tab w:val="left" w:pos="720"/>
        </w:tabs>
        <w:ind w:left="720" w:hanging="720"/>
        <w:rPr>
          <w:sz w:val="23"/>
          <w:szCs w:val="23"/>
        </w:rPr>
      </w:pPr>
      <w:r w:rsidRPr="00E7743D">
        <w:rPr>
          <w:sz w:val="23"/>
          <w:szCs w:val="23"/>
        </w:rPr>
        <w:t>Personal us</w:t>
      </w:r>
      <w:r w:rsidR="00D15088" w:rsidRPr="00E7743D">
        <w:rPr>
          <w:sz w:val="23"/>
          <w:szCs w:val="23"/>
        </w:rPr>
        <w:t xml:space="preserve">e is </w:t>
      </w:r>
      <w:r w:rsidR="006C3D83" w:rsidRPr="00E7743D">
        <w:rPr>
          <w:b/>
          <w:bCs/>
          <w:i/>
          <w:iCs/>
          <w:sz w:val="23"/>
          <w:szCs w:val="23"/>
        </w:rPr>
        <w:t xml:space="preserve">strictly </w:t>
      </w:r>
      <w:r w:rsidRPr="00E7743D">
        <w:rPr>
          <w:b/>
          <w:bCs/>
          <w:i/>
          <w:iCs/>
          <w:sz w:val="23"/>
          <w:szCs w:val="23"/>
        </w:rPr>
        <w:t>not permitted</w:t>
      </w:r>
      <w:r w:rsidRPr="00E7743D">
        <w:rPr>
          <w:sz w:val="23"/>
          <w:szCs w:val="23"/>
        </w:rPr>
        <w:t xml:space="preserve"> (</w:t>
      </w:r>
      <w:r w:rsidR="0005291F" w:rsidRPr="00E7743D">
        <w:rPr>
          <w:sz w:val="23"/>
          <w:szCs w:val="23"/>
        </w:rPr>
        <w:t xml:space="preserve">and can </w:t>
      </w:r>
      <w:r w:rsidRPr="00E7743D">
        <w:rPr>
          <w:sz w:val="23"/>
          <w:szCs w:val="23"/>
        </w:rPr>
        <w:t xml:space="preserve">be </w:t>
      </w:r>
      <w:r w:rsidR="0005291F" w:rsidRPr="00E7743D">
        <w:rPr>
          <w:sz w:val="23"/>
          <w:szCs w:val="23"/>
        </w:rPr>
        <w:t xml:space="preserve">the </w:t>
      </w:r>
      <w:r w:rsidRPr="00E7743D">
        <w:rPr>
          <w:sz w:val="23"/>
          <w:szCs w:val="23"/>
        </w:rPr>
        <w:t xml:space="preserve">basis for forfeiture of </w:t>
      </w:r>
      <w:r w:rsidR="0005291F" w:rsidRPr="00E7743D">
        <w:rPr>
          <w:sz w:val="23"/>
          <w:szCs w:val="23"/>
        </w:rPr>
        <w:t xml:space="preserve">the </w:t>
      </w:r>
      <w:r w:rsidRPr="00E7743D">
        <w:rPr>
          <w:sz w:val="23"/>
          <w:szCs w:val="23"/>
        </w:rPr>
        <w:t>card).</w:t>
      </w:r>
      <w:r w:rsidR="00DE3E60" w:rsidRPr="00E7743D">
        <w:rPr>
          <w:sz w:val="23"/>
          <w:szCs w:val="23"/>
        </w:rPr>
        <w:t xml:space="preserve">  Additionally, the </w:t>
      </w:r>
      <w:r w:rsidR="00DE3E60" w:rsidRPr="00E7743D">
        <w:rPr>
          <w:b/>
          <w:i/>
          <w:sz w:val="23"/>
          <w:szCs w:val="23"/>
        </w:rPr>
        <w:t>corporate credit card may not be used at the cafeteria, the bookstore,</w:t>
      </w:r>
      <w:r w:rsidR="00661C8C">
        <w:rPr>
          <w:b/>
          <w:i/>
          <w:sz w:val="23"/>
          <w:szCs w:val="23"/>
        </w:rPr>
        <w:t xml:space="preserve"> the computer store,</w:t>
      </w:r>
      <w:r w:rsidR="00DE3E60" w:rsidRPr="00E7743D">
        <w:rPr>
          <w:b/>
          <w:i/>
          <w:sz w:val="23"/>
          <w:szCs w:val="23"/>
        </w:rPr>
        <w:t xml:space="preserve"> </w:t>
      </w:r>
      <w:r w:rsidR="008B7740" w:rsidRPr="00E7743D">
        <w:rPr>
          <w:b/>
          <w:i/>
          <w:sz w:val="23"/>
          <w:szCs w:val="23"/>
        </w:rPr>
        <w:t>Apple Valle</w:t>
      </w:r>
      <w:r w:rsidR="0005291F" w:rsidRPr="00E7743D">
        <w:rPr>
          <w:b/>
          <w:i/>
          <w:sz w:val="23"/>
          <w:szCs w:val="23"/>
        </w:rPr>
        <w:t xml:space="preserve">y, Village Hardware, </w:t>
      </w:r>
      <w:r w:rsidR="00D15088" w:rsidRPr="00E7743D">
        <w:rPr>
          <w:b/>
          <w:i/>
          <w:sz w:val="23"/>
          <w:szCs w:val="23"/>
        </w:rPr>
        <w:t xml:space="preserve">or </w:t>
      </w:r>
      <w:r w:rsidR="00DE3E60" w:rsidRPr="00E7743D">
        <w:rPr>
          <w:b/>
          <w:i/>
          <w:sz w:val="23"/>
          <w:szCs w:val="23"/>
        </w:rPr>
        <w:t>the A</w:t>
      </w:r>
      <w:r w:rsidR="00D15088" w:rsidRPr="00E7743D">
        <w:rPr>
          <w:b/>
          <w:i/>
          <w:sz w:val="23"/>
          <w:szCs w:val="23"/>
        </w:rPr>
        <w:t xml:space="preserve">dventist </w:t>
      </w:r>
      <w:r w:rsidR="00DE3E60" w:rsidRPr="00E7743D">
        <w:rPr>
          <w:b/>
          <w:i/>
          <w:sz w:val="23"/>
          <w:szCs w:val="23"/>
        </w:rPr>
        <w:t>B</w:t>
      </w:r>
      <w:r w:rsidR="00D15088" w:rsidRPr="00E7743D">
        <w:rPr>
          <w:b/>
          <w:i/>
          <w:sz w:val="23"/>
          <w:szCs w:val="23"/>
        </w:rPr>
        <w:t xml:space="preserve">ook </w:t>
      </w:r>
      <w:r w:rsidR="00DE3E60" w:rsidRPr="00E7743D">
        <w:rPr>
          <w:b/>
          <w:i/>
          <w:sz w:val="23"/>
          <w:szCs w:val="23"/>
        </w:rPr>
        <w:t>C</w:t>
      </w:r>
      <w:r w:rsidR="00D15088" w:rsidRPr="00E7743D">
        <w:rPr>
          <w:b/>
          <w:i/>
          <w:sz w:val="23"/>
          <w:szCs w:val="23"/>
        </w:rPr>
        <w:t>enter</w:t>
      </w:r>
      <w:r w:rsidR="00DE3E60" w:rsidRPr="00E7743D">
        <w:rPr>
          <w:sz w:val="23"/>
          <w:szCs w:val="23"/>
        </w:rPr>
        <w:t xml:space="preserve"> as </w:t>
      </w:r>
      <w:r w:rsidR="0005291F" w:rsidRPr="00E7743D">
        <w:rPr>
          <w:sz w:val="23"/>
          <w:szCs w:val="23"/>
        </w:rPr>
        <w:t xml:space="preserve">in some cases it </w:t>
      </w:r>
      <w:r w:rsidR="00DE3E60" w:rsidRPr="00E7743D">
        <w:rPr>
          <w:sz w:val="23"/>
          <w:szCs w:val="23"/>
        </w:rPr>
        <w:t xml:space="preserve">costs AU a merchant fee and </w:t>
      </w:r>
      <w:r w:rsidR="00EE1B9D" w:rsidRPr="00E7743D">
        <w:rPr>
          <w:sz w:val="23"/>
          <w:szCs w:val="23"/>
        </w:rPr>
        <w:t xml:space="preserve">always </w:t>
      </w:r>
      <w:r w:rsidR="0005291F" w:rsidRPr="00E7743D">
        <w:rPr>
          <w:sz w:val="23"/>
          <w:szCs w:val="23"/>
        </w:rPr>
        <w:t xml:space="preserve">costs AU </w:t>
      </w:r>
      <w:r w:rsidR="00DE3E60" w:rsidRPr="00E7743D">
        <w:rPr>
          <w:sz w:val="23"/>
          <w:szCs w:val="23"/>
        </w:rPr>
        <w:t>state taxes.  Please use IDC’s wherever possible.</w:t>
      </w:r>
    </w:p>
    <w:p w:rsidR="00D15088" w:rsidRPr="00E7743D" w:rsidRDefault="00D15088" w:rsidP="00D15088">
      <w:pPr>
        <w:pStyle w:val="ListParagraph"/>
        <w:rPr>
          <w:sz w:val="23"/>
          <w:szCs w:val="23"/>
        </w:rPr>
      </w:pPr>
    </w:p>
    <w:p w:rsidR="004378AE" w:rsidRPr="00E7743D" w:rsidRDefault="003965C2" w:rsidP="00D15088">
      <w:pPr>
        <w:pStyle w:val="Level1"/>
        <w:numPr>
          <w:ilvl w:val="0"/>
          <w:numId w:val="1"/>
        </w:numPr>
        <w:tabs>
          <w:tab w:val="left" w:pos="720"/>
        </w:tabs>
        <w:ind w:left="720" w:hanging="720"/>
        <w:rPr>
          <w:sz w:val="23"/>
          <w:szCs w:val="23"/>
        </w:rPr>
      </w:pPr>
      <w:r w:rsidRPr="00E7743D">
        <w:rPr>
          <w:b/>
          <w:bCs/>
          <w:smallCaps/>
          <w:sz w:val="23"/>
          <w:szCs w:val="23"/>
          <w:u w:val="single"/>
        </w:rPr>
        <w:t>U</w:t>
      </w:r>
      <w:r w:rsidR="004378AE" w:rsidRPr="00E7743D">
        <w:rPr>
          <w:b/>
          <w:bCs/>
          <w:smallCaps/>
          <w:sz w:val="23"/>
          <w:szCs w:val="23"/>
          <w:u w:val="single"/>
        </w:rPr>
        <w:t>naccounted</w:t>
      </w:r>
      <w:r w:rsidR="00730512" w:rsidRPr="00E7743D">
        <w:rPr>
          <w:b/>
          <w:bCs/>
          <w:smallCaps/>
          <w:sz w:val="23"/>
          <w:szCs w:val="23"/>
          <w:u w:val="single"/>
        </w:rPr>
        <w:t xml:space="preserve"> for</w:t>
      </w:r>
      <w:r w:rsidR="004378AE" w:rsidRPr="00E7743D">
        <w:rPr>
          <w:b/>
          <w:bCs/>
          <w:smallCaps/>
          <w:sz w:val="23"/>
          <w:szCs w:val="23"/>
          <w:u w:val="single"/>
        </w:rPr>
        <w:t xml:space="preserve"> purchases WILL BE</w:t>
      </w:r>
      <w:r w:rsidR="00E40498" w:rsidRPr="00E7743D">
        <w:rPr>
          <w:b/>
          <w:bCs/>
          <w:smallCaps/>
          <w:sz w:val="23"/>
          <w:szCs w:val="23"/>
          <w:u w:val="single"/>
        </w:rPr>
        <w:t xml:space="preserve"> </w:t>
      </w:r>
      <w:r w:rsidR="004378AE" w:rsidRPr="00E7743D">
        <w:rPr>
          <w:b/>
          <w:bCs/>
          <w:smallCaps/>
          <w:sz w:val="23"/>
          <w:szCs w:val="23"/>
          <w:u w:val="single"/>
        </w:rPr>
        <w:t>CHARGED</w:t>
      </w:r>
      <w:r w:rsidR="00E40498" w:rsidRPr="00E7743D">
        <w:rPr>
          <w:b/>
          <w:bCs/>
          <w:smallCaps/>
          <w:sz w:val="23"/>
          <w:szCs w:val="23"/>
          <w:u w:val="single"/>
        </w:rPr>
        <w:t xml:space="preserve"> </w:t>
      </w:r>
      <w:r w:rsidR="004378AE" w:rsidRPr="00E7743D">
        <w:rPr>
          <w:b/>
          <w:bCs/>
          <w:smallCaps/>
          <w:sz w:val="23"/>
          <w:szCs w:val="23"/>
          <w:u w:val="single"/>
        </w:rPr>
        <w:t xml:space="preserve">TO </w:t>
      </w:r>
      <w:r w:rsidR="006D1BA4" w:rsidRPr="00E7743D">
        <w:rPr>
          <w:b/>
          <w:bCs/>
          <w:smallCaps/>
          <w:sz w:val="23"/>
          <w:szCs w:val="23"/>
          <w:u w:val="single"/>
        </w:rPr>
        <w:t xml:space="preserve">THE </w:t>
      </w:r>
      <w:r w:rsidR="00580AA6" w:rsidRPr="00E7743D">
        <w:rPr>
          <w:b/>
          <w:bCs/>
          <w:smallCaps/>
          <w:sz w:val="23"/>
          <w:szCs w:val="23"/>
          <w:u w:val="single"/>
        </w:rPr>
        <w:t xml:space="preserve">DEPARTMENT FOR RECONCILEMENT AND WILL ULTIMATELY BE THE RESPONSIBILITY OF THE </w:t>
      </w:r>
      <w:r w:rsidR="006D1BA4" w:rsidRPr="00E7743D">
        <w:rPr>
          <w:b/>
          <w:bCs/>
          <w:smallCaps/>
          <w:sz w:val="23"/>
          <w:szCs w:val="23"/>
          <w:u w:val="single"/>
        </w:rPr>
        <w:t>APPLICANT</w:t>
      </w:r>
      <w:r w:rsidR="00580AA6" w:rsidRPr="00E7743D">
        <w:rPr>
          <w:b/>
          <w:bCs/>
          <w:smallCaps/>
          <w:sz w:val="23"/>
          <w:szCs w:val="23"/>
          <w:u w:val="single"/>
        </w:rPr>
        <w:t xml:space="preserve"> IF NOT PROPERLY ACCOUNT</w:t>
      </w:r>
      <w:r w:rsidR="00A716F8">
        <w:rPr>
          <w:b/>
          <w:bCs/>
          <w:smallCaps/>
          <w:sz w:val="23"/>
          <w:szCs w:val="23"/>
          <w:u w:val="single"/>
        </w:rPr>
        <w:t>ED</w:t>
      </w:r>
      <w:r w:rsidR="00580AA6" w:rsidRPr="00E7743D">
        <w:rPr>
          <w:b/>
          <w:bCs/>
          <w:smallCaps/>
          <w:sz w:val="23"/>
          <w:szCs w:val="23"/>
          <w:u w:val="single"/>
        </w:rPr>
        <w:t xml:space="preserve"> FOR</w:t>
      </w:r>
      <w:r w:rsidR="00E40498" w:rsidRPr="00E7743D">
        <w:rPr>
          <w:b/>
          <w:bCs/>
          <w:smallCaps/>
          <w:sz w:val="23"/>
          <w:szCs w:val="23"/>
          <w:u w:val="single"/>
        </w:rPr>
        <w:t xml:space="preserve">.  If </w:t>
      </w:r>
      <w:r w:rsidR="004378AE" w:rsidRPr="00E7743D">
        <w:rPr>
          <w:b/>
          <w:bCs/>
          <w:smallCaps/>
          <w:sz w:val="23"/>
          <w:szCs w:val="23"/>
          <w:u w:val="single"/>
        </w:rPr>
        <w:t xml:space="preserve">not paid on a timely </w:t>
      </w:r>
      <w:proofErr w:type="gramStart"/>
      <w:r w:rsidR="004378AE" w:rsidRPr="00E7743D">
        <w:rPr>
          <w:b/>
          <w:bCs/>
          <w:smallCaps/>
          <w:sz w:val="23"/>
          <w:szCs w:val="23"/>
          <w:u w:val="single"/>
        </w:rPr>
        <w:t xml:space="preserve">basis </w:t>
      </w:r>
      <w:r w:rsidR="00E40498" w:rsidRPr="00E7743D">
        <w:rPr>
          <w:b/>
          <w:bCs/>
          <w:smallCaps/>
          <w:sz w:val="23"/>
          <w:szCs w:val="23"/>
          <w:u w:val="single"/>
        </w:rPr>
        <w:t>,</w:t>
      </w:r>
      <w:proofErr w:type="gramEnd"/>
      <w:r w:rsidR="00E40498" w:rsidRPr="00E7743D">
        <w:rPr>
          <w:b/>
          <w:bCs/>
          <w:smallCaps/>
          <w:sz w:val="23"/>
          <w:szCs w:val="23"/>
          <w:u w:val="single"/>
        </w:rPr>
        <w:t xml:space="preserve"> these </w:t>
      </w:r>
      <w:r w:rsidR="004378AE" w:rsidRPr="00E7743D">
        <w:rPr>
          <w:b/>
          <w:bCs/>
          <w:smallCaps/>
          <w:sz w:val="23"/>
          <w:szCs w:val="23"/>
          <w:u w:val="single"/>
        </w:rPr>
        <w:t>Charges</w:t>
      </w:r>
      <w:r w:rsidR="00E40498" w:rsidRPr="00E7743D">
        <w:rPr>
          <w:b/>
          <w:bCs/>
          <w:smallCaps/>
          <w:sz w:val="23"/>
          <w:szCs w:val="23"/>
          <w:u w:val="single"/>
        </w:rPr>
        <w:t xml:space="preserve"> </w:t>
      </w:r>
      <w:r w:rsidR="004378AE" w:rsidRPr="00E7743D">
        <w:rPr>
          <w:b/>
          <w:bCs/>
          <w:smallCaps/>
          <w:sz w:val="23"/>
          <w:szCs w:val="23"/>
          <w:u w:val="single"/>
        </w:rPr>
        <w:t xml:space="preserve">will be deducted from </w:t>
      </w:r>
      <w:r w:rsidR="00E40498" w:rsidRPr="00E7743D">
        <w:rPr>
          <w:b/>
          <w:bCs/>
          <w:smallCaps/>
          <w:sz w:val="23"/>
          <w:szCs w:val="23"/>
          <w:u w:val="single"/>
        </w:rPr>
        <w:t xml:space="preserve">the applicant’s </w:t>
      </w:r>
      <w:r w:rsidR="004378AE" w:rsidRPr="00E7743D">
        <w:rPr>
          <w:b/>
          <w:bCs/>
          <w:smallCaps/>
          <w:sz w:val="23"/>
          <w:szCs w:val="23"/>
          <w:u w:val="single"/>
        </w:rPr>
        <w:t>payroll.</w:t>
      </w:r>
    </w:p>
    <w:p w:rsidR="0073308D" w:rsidRPr="00E7743D" w:rsidRDefault="0073308D" w:rsidP="0073308D">
      <w:pPr>
        <w:pStyle w:val="ListParagraph"/>
        <w:rPr>
          <w:sz w:val="23"/>
          <w:szCs w:val="23"/>
        </w:rPr>
      </w:pPr>
    </w:p>
    <w:p w:rsidR="00F00B45" w:rsidRPr="00E7743D" w:rsidRDefault="00CF00CE" w:rsidP="0073308D">
      <w:pPr>
        <w:pStyle w:val="Level1"/>
        <w:numPr>
          <w:ilvl w:val="0"/>
          <w:numId w:val="1"/>
        </w:numPr>
        <w:tabs>
          <w:tab w:val="left" w:pos="720"/>
        </w:tabs>
        <w:ind w:left="720" w:hanging="720"/>
        <w:rPr>
          <w:sz w:val="23"/>
          <w:szCs w:val="23"/>
        </w:rPr>
      </w:pPr>
      <w:r w:rsidRPr="00E7743D">
        <w:rPr>
          <w:sz w:val="23"/>
          <w:szCs w:val="23"/>
        </w:rPr>
        <w:t>Q</w:t>
      </w:r>
      <w:r w:rsidR="003C00C1" w:rsidRPr="00E7743D">
        <w:rPr>
          <w:sz w:val="23"/>
          <w:szCs w:val="23"/>
        </w:rPr>
        <w:t>uestions</w:t>
      </w:r>
      <w:r w:rsidRPr="00E7743D">
        <w:rPr>
          <w:sz w:val="23"/>
          <w:szCs w:val="23"/>
        </w:rPr>
        <w:t xml:space="preserve">?  Contact </w:t>
      </w:r>
      <w:r w:rsidR="003C00C1" w:rsidRPr="00E7743D">
        <w:rPr>
          <w:sz w:val="23"/>
          <w:szCs w:val="23"/>
        </w:rPr>
        <w:t>Rhoena in Financial Records</w:t>
      </w:r>
      <w:r w:rsidRPr="00E7743D">
        <w:rPr>
          <w:sz w:val="23"/>
          <w:szCs w:val="23"/>
        </w:rPr>
        <w:t xml:space="preserve"> at </w:t>
      </w:r>
      <w:proofErr w:type="spellStart"/>
      <w:r w:rsidRPr="00E7743D">
        <w:rPr>
          <w:sz w:val="23"/>
          <w:szCs w:val="23"/>
        </w:rPr>
        <w:t>ext</w:t>
      </w:r>
      <w:proofErr w:type="spellEnd"/>
      <w:r w:rsidRPr="00E7743D">
        <w:rPr>
          <w:sz w:val="23"/>
          <w:szCs w:val="23"/>
        </w:rPr>
        <w:t xml:space="preserve"> 3323 or at </w:t>
      </w:r>
      <w:r w:rsidR="003C00C1" w:rsidRPr="00E7743D">
        <w:rPr>
          <w:sz w:val="23"/>
          <w:szCs w:val="23"/>
        </w:rPr>
        <w:t xml:space="preserve"> </w:t>
      </w:r>
      <w:hyperlink r:id="rId6" w:history="1">
        <w:r w:rsidR="00D76B24" w:rsidRPr="00E7743D">
          <w:rPr>
            <w:rStyle w:val="Hyperlink"/>
            <w:sz w:val="23"/>
            <w:szCs w:val="23"/>
          </w:rPr>
          <w:t>rhoena@andrews.edu</w:t>
        </w:r>
      </w:hyperlink>
      <w:r w:rsidRPr="00E7743D">
        <w:rPr>
          <w:sz w:val="23"/>
          <w:szCs w:val="23"/>
        </w:rPr>
        <w:t xml:space="preserve"> </w:t>
      </w:r>
    </w:p>
    <w:p w:rsidR="00E7743D" w:rsidRDefault="00E7743D" w:rsidP="004378AE">
      <w:pPr>
        <w:rPr>
          <w:sz w:val="23"/>
          <w:szCs w:val="23"/>
        </w:rPr>
      </w:pPr>
    </w:p>
    <w:p w:rsidR="00994C13" w:rsidRDefault="00994C13" w:rsidP="004378AE">
      <w:pPr>
        <w:rPr>
          <w:sz w:val="23"/>
          <w:szCs w:val="23"/>
        </w:rPr>
      </w:pPr>
    </w:p>
    <w:p w:rsidR="00994C13" w:rsidRPr="00994C13" w:rsidRDefault="00994C13" w:rsidP="004378AE">
      <w:pPr>
        <w:rPr>
          <w:b/>
        </w:rPr>
      </w:pPr>
      <w:r w:rsidRPr="00994C13">
        <w:rPr>
          <w:b/>
        </w:rPr>
        <w:t>Copy to be kept by applicant</w:t>
      </w:r>
    </w:p>
    <w:sectPr w:rsidR="00994C13" w:rsidRPr="00994C13" w:rsidSect="00CF00CE">
      <w:type w:val="continuous"/>
      <w:pgSz w:w="12240" w:h="15840"/>
      <w:pgMar w:top="720" w:right="1008" w:bottom="720" w:left="1008"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72EF8"/>
    <w:multiLevelType w:val="hybridMultilevel"/>
    <w:tmpl w:val="3BC8F262"/>
    <w:lvl w:ilvl="0" w:tplc="5C4A201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8DA24DA"/>
    <w:multiLevelType w:val="singleLevel"/>
    <w:tmpl w:val="D24056E6"/>
    <w:lvl w:ilvl="0">
      <w:start w:val="1"/>
      <w:numFmt w:val="decimal"/>
      <w:lvlText w:val="%1."/>
      <w:legacy w:legacy="1" w:legacySpace="0" w:legacyIndent="1"/>
      <w:lvlJc w:val="left"/>
      <w:pPr>
        <w:ind w:left="1" w:hanging="1"/>
      </w:pPr>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378AE"/>
    <w:rsid w:val="0005291F"/>
    <w:rsid w:val="000B42E9"/>
    <w:rsid w:val="000E09CA"/>
    <w:rsid w:val="001A14CF"/>
    <w:rsid w:val="002068C1"/>
    <w:rsid w:val="00212FE6"/>
    <w:rsid w:val="00234CBA"/>
    <w:rsid w:val="002919E4"/>
    <w:rsid w:val="002B4B4D"/>
    <w:rsid w:val="002C6870"/>
    <w:rsid w:val="002D27B5"/>
    <w:rsid w:val="00331F65"/>
    <w:rsid w:val="003352F9"/>
    <w:rsid w:val="00346BEB"/>
    <w:rsid w:val="00374626"/>
    <w:rsid w:val="003965C2"/>
    <w:rsid w:val="003C00C1"/>
    <w:rsid w:val="004378AE"/>
    <w:rsid w:val="004C2A5D"/>
    <w:rsid w:val="00507A83"/>
    <w:rsid w:val="00527419"/>
    <w:rsid w:val="00543F38"/>
    <w:rsid w:val="00556A23"/>
    <w:rsid w:val="00580AA6"/>
    <w:rsid w:val="005C6DE4"/>
    <w:rsid w:val="00605245"/>
    <w:rsid w:val="00616602"/>
    <w:rsid w:val="00624C5A"/>
    <w:rsid w:val="00661C8C"/>
    <w:rsid w:val="00684A25"/>
    <w:rsid w:val="006C3D83"/>
    <w:rsid w:val="006D1BA4"/>
    <w:rsid w:val="006E523F"/>
    <w:rsid w:val="007133A2"/>
    <w:rsid w:val="00730512"/>
    <w:rsid w:val="0073308D"/>
    <w:rsid w:val="00755FEF"/>
    <w:rsid w:val="00774F97"/>
    <w:rsid w:val="00775F00"/>
    <w:rsid w:val="00793AB6"/>
    <w:rsid w:val="007E5CF4"/>
    <w:rsid w:val="00872B30"/>
    <w:rsid w:val="008B7740"/>
    <w:rsid w:val="008C18A8"/>
    <w:rsid w:val="008E2BF0"/>
    <w:rsid w:val="00994C13"/>
    <w:rsid w:val="00995845"/>
    <w:rsid w:val="009B306F"/>
    <w:rsid w:val="009B422E"/>
    <w:rsid w:val="009E6115"/>
    <w:rsid w:val="00A716F8"/>
    <w:rsid w:val="00B035CA"/>
    <w:rsid w:val="00B04D97"/>
    <w:rsid w:val="00B30121"/>
    <w:rsid w:val="00B53A72"/>
    <w:rsid w:val="00B714EE"/>
    <w:rsid w:val="00C01B36"/>
    <w:rsid w:val="00C14EA8"/>
    <w:rsid w:val="00C42A32"/>
    <w:rsid w:val="00C820C7"/>
    <w:rsid w:val="00CB0806"/>
    <w:rsid w:val="00CF00CE"/>
    <w:rsid w:val="00CF0763"/>
    <w:rsid w:val="00D15088"/>
    <w:rsid w:val="00D76B24"/>
    <w:rsid w:val="00DE3E60"/>
    <w:rsid w:val="00E40498"/>
    <w:rsid w:val="00E4450F"/>
    <w:rsid w:val="00E7743D"/>
    <w:rsid w:val="00EE1B9D"/>
    <w:rsid w:val="00EE4991"/>
    <w:rsid w:val="00EF0D50"/>
    <w:rsid w:val="00F00B45"/>
    <w:rsid w:val="00F81A68"/>
    <w:rsid w:val="00F85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8AE"/>
    <w:pPr>
      <w:autoSpaceDE w:val="0"/>
      <w:autoSpaceDN w:val="0"/>
      <w:adjustRightInd w:val="0"/>
      <w:spacing w:after="0" w:afterAutospacing="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4378AE"/>
    <w:pPr>
      <w:autoSpaceDE w:val="0"/>
      <w:autoSpaceDN w:val="0"/>
      <w:adjustRightInd w:val="0"/>
      <w:spacing w:after="0" w:afterAutospacing="0"/>
      <w:ind w:left="720"/>
    </w:pPr>
    <w:rPr>
      <w:rFonts w:ascii="Times New Roman" w:hAnsi="Times New Roman" w:cs="Times New Roman"/>
      <w:sz w:val="24"/>
      <w:szCs w:val="24"/>
    </w:rPr>
  </w:style>
  <w:style w:type="paragraph" w:styleId="ListParagraph">
    <w:name w:val="List Paragraph"/>
    <w:basedOn w:val="Normal"/>
    <w:uiPriority w:val="34"/>
    <w:qFormat/>
    <w:rsid w:val="004378AE"/>
    <w:pPr>
      <w:ind w:left="720"/>
      <w:contextualSpacing/>
    </w:pPr>
  </w:style>
  <w:style w:type="character" w:styleId="Hyperlink">
    <w:name w:val="Hyperlink"/>
    <w:basedOn w:val="DefaultParagraphFont"/>
    <w:uiPriority w:val="99"/>
    <w:unhideWhenUsed/>
    <w:rsid w:val="003C00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9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hoena@andrews.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Andrews University</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rhoena</dc:creator>
  <cp:lastModifiedBy>I.T.S.</cp:lastModifiedBy>
  <cp:revision>2</cp:revision>
  <cp:lastPrinted>2013-09-04T19:18:00Z</cp:lastPrinted>
  <dcterms:created xsi:type="dcterms:W3CDTF">2014-07-02T17:09:00Z</dcterms:created>
  <dcterms:modified xsi:type="dcterms:W3CDTF">2014-07-02T17:09:00Z</dcterms:modified>
</cp:coreProperties>
</file>