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22D1" w:rsidRDefault="00B525C0">
      <w:pPr>
        <w:spacing w:line="360" w:lineRule="auto"/>
        <w:ind w:right="-485"/>
      </w:pPr>
      <w:bookmarkStart w:id="0" w:name="_GoBack"/>
      <w:bookmarkEnd w:id="0"/>
      <w:r>
        <w:rPr>
          <w:b/>
          <w:sz w:val="32"/>
        </w:rPr>
        <w:t>Question 1</w:t>
      </w:r>
    </w:p>
    <w:p w:rsidR="003722D1" w:rsidRDefault="00B525C0">
      <w:pPr>
        <w:spacing w:line="360" w:lineRule="auto"/>
      </w:pPr>
      <w:r>
        <w:rPr>
          <w:sz w:val="32"/>
        </w:rPr>
        <w:t>A binary logistic regression analysis was performed to determine if coronary incidence was related to other health-related variables.  The outcome variable coronary incidence was coded 0 = No and 1 = Yes.  Six predictor variables were included in the model</w:t>
      </w:r>
      <w:r>
        <w:rPr>
          <w:sz w:val="32"/>
        </w:rPr>
        <w:t>; these were age in years, cholesterol level, systolic and diastolic blood pressure, height in inches and weight in pounds.  Data from 200 participants were included in this analysis.</w:t>
      </w:r>
    </w:p>
    <w:p w:rsidR="003722D1" w:rsidRDefault="00B525C0">
      <w:pPr>
        <w:spacing w:line="360" w:lineRule="auto"/>
      </w:pPr>
      <w:r>
        <w:rPr>
          <w:sz w:val="32"/>
        </w:rPr>
        <w:t xml:space="preserve">A test of the full model (with all six predictor variables, as outlined </w:t>
      </w:r>
      <w:r>
        <w:rPr>
          <w:sz w:val="32"/>
        </w:rPr>
        <w:t xml:space="preserve">above) compared with a constant-only or null model was statistically significant: Chi Square (6) = 20.154, p = .003.  The strength of the association between coronary incidence and all six predictor variables was relatively weak with Nagelkerke R Square = </w:t>
      </w:r>
      <w:r>
        <w:rPr>
          <w:sz w:val="32"/>
        </w:rPr>
        <w:t>.181, indicating that only 18% of the variation in coronary incidence can be explained by the logistic regression model.  The Hosmer and Lemeshow test indicated that there was a linear relationship between the log odds of coronary incidence and the six pre</w:t>
      </w:r>
      <w:r>
        <w:rPr>
          <w:sz w:val="32"/>
        </w:rPr>
        <w:t>dictor variables: p = .625.  Table 1 summarizes the raw score binary logistic regression coefficients, Wald statistics, and the estimated change in odds of coronary incidence for each of the six predictor variables in the full model.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b/>
          <w:sz w:val="32"/>
        </w:rPr>
        <w:t>Table 1</w:t>
      </w:r>
    </w:p>
    <w:p w:rsidR="003722D1" w:rsidRDefault="00B525C0">
      <w:pPr>
        <w:spacing w:line="360" w:lineRule="auto"/>
      </w:pPr>
      <w:r>
        <w:rPr>
          <w:b/>
          <w:sz w:val="32"/>
        </w:rPr>
        <w:t xml:space="preserve">Full Model - </w:t>
      </w:r>
      <w:r>
        <w:rPr>
          <w:b/>
          <w:sz w:val="32"/>
        </w:rPr>
        <w:t>Logistic Regression Predicting Coronary Incidence from Age, Cholesterol Level, Systolic and Diastolic Blood Pressure, Height and Weight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Predictor</w:t>
      </w:r>
      <w:r>
        <w:rPr>
          <w:sz w:val="32"/>
        </w:rPr>
        <w:tab/>
      </w:r>
      <w:r>
        <w:rPr>
          <w:sz w:val="32"/>
        </w:rPr>
        <w:tab/>
        <w:t>B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Wald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Odds Ratio</w:t>
      </w:r>
    </w:p>
    <w:p w:rsidR="003722D1" w:rsidRDefault="00B525C0">
      <w:pPr>
        <w:spacing w:line="360" w:lineRule="auto"/>
      </w:pPr>
      <w:r>
        <w:rPr>
          <w:sz w:val="32"/>
        </w:rPr>
        <w:lastRenderedPageBreak/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age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.057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5.575</w:t>
      </w:r>
      <w:r>
        <w:rPr>
          <w:sz w:val="32"/>
        </w:rPr>
        <w:tab/>
      </w:r>
      <w:r>
        <w:rPr>
          <w:sz w:val="32"/>
        </w:rPr>
        <w:tab/>
        <w:t>.018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1.059</w:t>
      </w:r>
    </w:p>
    <w:p w:rsidR="003722D1" w:rsidRDefault="00B525C0">
      <w:pPr>
        <w:spacing w:line="360" w:lineRule="auto"/>
      </w:pPr>
      <w:r>
        <w:rPr>
          <w:sz w:val="32"/>
        </w:rPr>
        <w:t>sysbp</w:t>
      </w:r>
      <w:r>
        <w:rPr>
          <w:sz w:val="32"/>
        </w:rPr>
        <w:tab/>
      </w:r>
      <w:r>
        <w:rPr>
          <w:sz w:val="32"/>
        </w:rPr>
        <w:tab/>
        <w:t>.007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.131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.718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1.007</w:t>
      </w:r>
    </w:p>
    <w:p w:rsidR="003722D1" w:rsidRDefault="00B525C0">
      <w:pPr>
        <w:spacing w:line="360" w:lineRule="auto"/>
      </w:pPr>
      <w:r>
        <w:rPr>
          <w:sz w:val="32"/>
        </w:rPr>
        <w:t>diabp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-.010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.071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.790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.990</w:t>
      </w:r>
    </w:p>
    <w:p w:rsidR="003722D1" w:rsidRDefault="00B525C0">
      <w:pPr>
        <w:spacing w:line="360" w:lineRule="auto"/>
      </w:pPr>
      <w:r>
        <w:rPr>
          <w:sz w:val="32"/>
        </w:rPr>
        <w:t>choles</w:t>
      </w:r>
      <w:r>
        <w:rPr>
          <w:sz w:val="32"/>
        </w:rPr>
        <w:tab/>
      </w:r>
      <w:r>
        <w:rPr>
          <w:sz w:val="32"/>
        </w:rPr>
        <w:tab/>
        <w:t>.005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1.746</w:t>
      </w:r>
      <w:r>
        <w:rPr>
          <w:sz w:val="32"/>
        </w:rPr>
        <w:tab/>
      </w:r>
      <w:r>
        <w:rPr>
          <w:sz w:val="32"/>
        </w:rPr>
        <w:tab/>
        <w:t>.186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1.005</w:t>
      </w:r>
    </w:p>
    <w:p w:rsidR="003722D1" w:rsidRDefault="00B525C0">
      <w:pPr>
        <w:spacing w:line="360" w:lineRule="auto"/>
      </w:pPr>
      <w:r>
        <w:rPr>
          <w:sz w:val="32"/>
        </w:rPr>
        <w:t>ht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-.079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.537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.464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.924</w:t>
      </w:r>
    </w:p>
    <w:p w:rsidR="003722D1" w:rsidRDefault="00B525C0">
      <w:pPr>
        <w:spacing w:line="360" w:lineRule="auto"/>
      </w:pPr>
      <w:r>
        <w:rPr>
          <w:sz w:val="32"/>
        </w:rPr>
        <w:t>wt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.019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3.739</w:t>
      </w:r>
      <w:r>
        <w:rPr>
          <w:sz w:val="32"/>
        </w:rPr>
        <w:tab/>
      </w:r>
      <w:r>
        <w:rPr>
          <w:sz w:val="32"/>
        </w:rPr>
        <w:tab/>
        <w:t>.053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1.020</w:t>
      </w:r>
    </w:p>
    <w:p w:rsidR="003722D1" w:rsidRDefault="00B525C0">
      <w:pPr>
        <w:spacing w:line="360" w:lineRule="auto"/>
      </w:pPr>
      <w:r>
        <w:rPr>
          <w:sz w:val="32"/>
        </w:rPr>
        <w:t>Constant</w:t>
      </w:r>
      <w:r>
        <w:rPr>
          <w:sz w:val="32"/>
        </w:rPr>
        <w:tab/>
      </w:r>
      <w:r>
        <w:rPr>
          <w:sz w:val="32"/>
        </w:rPr>
        <w:tab/>
        <w:t>-3.981</w:t>
      </w:r>
      <w:r>
        <w:rPr>
          <w:sz w:val="32"/>
        </w:rPr>
        <w:tab/>
      </w:r>
      <w:r>
        <w:rPr>
          <w:sz w:val="32"/>
        </w:rPr>
        <w:tab/>
        <w:t>.276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.599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.019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sz w:val="32"/>
        </w:rPr>
        <w:t xml:space="preserve">From Table 1, it is evident that, of the six predictors in the full </w:t>
      </w:r>
      <w:r>
        <w:rPr>
          <w:sz w:val="32"/>
        </w:rPr>
        <w:t>model, only age was statistically significant at the .05 level.  A test of the restricted model, with age as the predictor, was statistically significant: Chi Square (1) = 14.218, p = .000.  Nagelkerke R Square = .130, indicating that only 13% of the varia</w:t>
      </w:r>
      <w:r>
        <w:rPr>
          <w:sz w:val="32"/>
        </w:rPr>
        <w:t>tion in coronary incidence can be explained by the restricted logistic regression model.  The Hosmer and Lemeshow test indicated that there was a linear relationship between the log odds of coronary incidence and age as a predictor variable: p = .407.  Tab</w:t>
      </w:r>
      <w:r>
        <w:rPr>
          <w:sz w:val="32"/>
        </w:rPr>
        <w:t>le 2 summarizes the raw score binary logistic regression coefficients, Wald statistics, and the estimated change in odds of coronary incidence for age as a predictor variable in the restricted model.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b/>
          <w:sz w:val="32"/>
        </w:rPr>
        <w:t>Table 2</w:t>
      </w:r>
    </w:p>
    <w:p w:rsidR="003722D1" w:rsidRDefault="00B525C0">
      <w:pPr>
        <w:spacing w:line="360" w:lineRule="auto"/>
      </w:pPr>
      <w:r>
        <w:rPr>
          <w:b/>
          <w:sz w:val="32"/>
        </w:rPr>
        <w:t>Restricted Model - Logistic Regression Predicti</w:t>
      </w:r>
      <w:r>
        <w:rPr>
          <w:b/>
          <w:sz w:val="32"/>
        </w:rPr>
        <w:t>ng Coronary Incidence from Age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lastRenderedPageBreak/>
        <w:t>Predictor</w:t>
      </w:r>
      <w:r>
        <w:rPr>
          <w:sz w:val="32"/>
        </w:rPr>
        <w:tab/>
      </w:r>
      <w:r>
        <w:rPr>
          <w:sz w:val="32"/>
        </w:rPr>
        <w:tab/>
        <w:t>B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Wald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Odds Ratio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</w:t>
      </w:r>
      <w:r>
        <w:rPr>
          <w:sz w:val="32"/>
        </w:rPr>
        <w:t>---</w:t>
      </w:r>
    </w:p>
    <w:p w:rsidR="003722D1" w:rsidRDefault="00B525C0">
      <w:pPr>
        <w:spacing w:line="360" w:lineRule="auto"/>
      </w:pPr>
      <w:r>
        <w:rPr>
          <w:sz w:val="32"/>
        </w:rPr>
        <w:t>age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.071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12.676</w:t>
      </w:r>
      <w:r>
        <w:rPr>
          <w:sz w:val="32"/>
        </w:rPr>
        <w:tab/>
      </w:r>
      <w:r>
        <w:rPr>
          <w:sz w:val="32"/>
        </w:rPr>
        <w:tab/>
        <w:t>.000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1.074</w:t>
      </w:r>
    </w:p>
    <w:p w:rsidR="003722D1" w:rsidRDefault="00B525C0">
      <w:pPr>
        <w:spacing w:line="360" w:lineRule="auto"/>
      </w:pPr>
      <w:r>
        <w:rPr>
          <w:sz w:val="32"/>
        </w:rPr>
        <w:t>Constant</w:t>
      </w:r>
      <w:r>
        <w:rPr>
          <w:sz w:val="32"/>
        </w:rPr>
        <w:tab/>
      </w:r>
      <w:r>
        <w:rPr>
          <w:sz w:val="32"/>
        </w:rPr>
        <w:tab/>
        <w:t>-5.236</w:t>
      </w:r>
      <w:r>
        <w:rPr>
          <w:sz w:val="32"/>
        </w:rPr>
        <w:tab/>
      </w:r>
      <w:r>
        <w:rPr>
          <w:sz w:val="32"/>
        </w:rPr>
        <w:tab/>
        <w:t>26.685</w:t>
      </w:r>
      <w:r>
        <w:rPr>
          <w:sz w:val="32"/>
        </w:rPr>
        <w:tab/>
      </w:r>
      <w:r>
        <w:rPr>
          <w:sz w:val="32"/>
        </w:rPr>
        <w:tab/>
        <w:t>.000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.005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From the above analysis, we can conclude that for every one-year increase in age, the odds of having a coronary incident increases only very slightly, odds ratio = 1.074.</w:t>
      </w:r>
    </w:p>
    <w:p w:rsidR="003722D1" w:rsidRDefault="00B525C0">
      <w:pPr>
        <w:spacing w:line="360" w:lineRule="auto"/>
      </w:pPr>
      <w:r>
        <w:rPr>
          <w:sz w:val="32"/>
        </w:rPr>
        <w:t>The logistic regression equation is as follows:</w:t>
      </w:r>
    </w:p>
    <w:p w:rsidR="003722D1" w:rsidRDefault="00B525C0">
      <w:pPr>
        <w:spacing w:line="360" w:lineRule="auto"/>
      </w:pPr>
      <w:r>
        <w:rPr>
          <w:sz w:val="32"/>
        </w:rPr>
        <w:tab/>
        <w:t>Log Odds (Coronary Incidence) = -5.2</w:t>
      </w:r>
      <w:r>
        <w:rPr>
          <w:sz w:val="32"/>
        </w:rPr>
        <w:t>36 + 0.071Age</w:t>
      </w:r>
    </w:p>
    <w:p w:rsidR="003722D1" w:rsidRDefault="00B525C0">
      <w:pPr>
        <w:spacing w:line="360" w:lineRule="auto"/>
      </w:pPr>
      <w:r>
        <w:rPr>
          <w:sz w:val="32"/>
        </w:rPr>
        <w:t xml:space="preserve">Furthermore, univariate analysis indicated that there was a statistically significant (p = .000) difference in the age of participants who had had a coronary incident (M = 50.76, SD = 9.984), compared with the age of participants who had not </w:t>
      </w:r>
      <w:r>
        <w:rPr>
          <w:sz w:val="32"/>
        </w:rPr>
        <w:t>had a coronary incident (M = 41.39, SD = 11.420).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b/>
          <w:sz w:val="32"/>
        </w:rPr>
        <w:t>Question 2</w:t>
      </w:r>
    </w:p>
    <w:p w:rsidR="003722D1" w:rsidRDefault="00B525C0">
      <w:pPr>
        <w:spacing w:line="360" w:lineRule="auto"/>
      </w:pPr>
      <w:r>
        <w:rPr>
          <w:sz w:val="32"/>
        </w:rPr>
        <w:t>A binary logistic regression analysis was performed to determine if seven predictor variables, namely, gender, parents’ education, mosaic, visualization test, scholastic aptitude test-math, comp</w:t>
      </w:r>
      <w:r>
        <w:rPr>
          <w:sz w:val="32"/>
        </w:rPr>
        <w:t>etence scale and motivation scale could predict whether or not students take Algebra 2 in high school.   The outcome variable Algebra 2 was coded 0 = Not taken and 1 = Taken.  Data from 75 students were included in this analysis.</w:t>
      </w:r>
    </w:p>
    <w:p w:rsidR="003722D1" w:rsidRDefault="00B525C0">
      <w:pPr>
        <w:spacing w:line="360" w:lineRule="auto"/>
      </w:pPr>
      <w:r>
        <w:rPr>
          <w:sz w:val="32"/>
        </w:rPr>
        <w:t>A test of the full model (</w:t>
      </w:r>
      <w:r>
        <w:rPr>
          <w:sz w:val="32"/>
        </w:rPr>
        <w:t xml:space="preserve">with all seven predictor variables, as outlined above) compared with a constant-only or null model was statistically significant: Chi Square (7) = 48.404, p = .000.  The strength of the association between Algebra </w:t>
      </w:r>
      <w:r>
        <w:rPr>
          <w:sz w:val="32"/>
        </w:rPr>
        <w:lastRenderedPageBreak/>
        <w:t>2 and all seven predictor variables was mo</w:t>
      </w:r>
      <w:r>
        <w:rPr>
          <w:sz w:val="32"/>
        </w:rPr>
        <w:t>derately strong, with Nagelkerke R Square = .659, indicating that 65.9% of the variation in whether or not students take Algebra 2 can be explained by the logistic regression model.  The Hosmer and Lemeshow test indicated that there was a linear relationsh</w:t>
      </w:r>
      <w:r>
        <w:rPr>
          <w:sz w:val="32"/>
        </w:rPr>
        <w:t>ip between the log odds of Algebra 2 and all seven predictors: p = .901.  Table 1 summarizes the raw score binary logistic regression coefficients, Wald statistics, and the estimated change in odds of taking Algebra 2 for each of the seven predictor variab</w:t>
      </w:r>
      <w:r>
        <w:rPr>
          <w:sz w:val="32"/>
        </w:rPr>
        <w:t>les in the full model.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b/>
          <w:sz w:val="32"/>
        </w:rPr>
        <w:t>Table 1</w:t>
      </w:r>
    </w:p>
    <w:p w:rsidR="003722D1" w:rsidRDefault="00B525C0">
      <w:pPr>
        <w:spacing w:line="360" w:lineRule="auto"/>
      </w:pPr>
      <w:r>
        <w:rPr>
          <w:b/>
          <w:sz w:val="32"/>
        </w:rPr>
        <w:t>Full Model - Logistic Regression Predicting Whether Not Students Take Algebra 2 From Gender, Parents’ Eduction, Mosaic, Visualization Test, Scholastic Aptitude Test-Math, Competence Scale and Motivation Scale</w:t>
      </w:r>
    </w:p>
    <w:p w:rsidR="003722D1" w:rsidRDefault="00B525C0">
      <w:pPr>
        <w:spacing w:line="360" w:lineRule="auto"/>
      </w:pPr>
      <w:r>
        <w:rPr>
          <w:sz w:val="32"/>
        </w:rPr>
        <w:t>---------------</w:t>
      </w:r>
      <w:r>
        <w:rPr>
          <w:sz w:val="32"/>
        </w:rPr>
        <w:t>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Predictor</w:t>
      </w:r>
      <w:r>
        <w:rPr>
          <w:sz w:val="32"/>
        </w:rPr>
        <w:tab/>
      </w:r>
      <w:r>
        <w:rPr>
          <w:sz w:val="32"/>
        </w:rPr>
        <w:tab/>
        <w:t>B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Wald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Odds Ratio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Gender</w:t>
      </w:r>
      <w:r>
        <w:rPr>
          <w:sz w:val="32"/>
        </w:rPr>
        <w:tab/>
      </w:r>
      <w:r>
        <w:rPr>
          <w:sz w:val="32"/>
        </w:rPr>
        <w:tab/>
        <w:t>.846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.932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.334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2.330</w:t>
      </w:r>
    </w:p>
    <w:p w:rsidR="003722D1" w:rsidRDefault="00B525C0">
      <w:pPr>
        <w:spacing w:line="360" w:lineRule="auto"/>
      </w:pPr>
      <w:r>
        <w:rPr>
          <w:sz w:val="32"/>
        </w:rPr>
        <w:t>ParEduc</w:t>
      </w:r>
      <w:r>
        <w:rPr>
          <w:sz w:val="32"/>
        </w:rPr>
        <w:tab/>
      </w:r>
      <w:r>
        <w:rPr>
          <w:sz w:val="32"/>
        </w:rPr>
        <w:tab/>
        <w:t>.623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8.739</w:t>
      </w:r>
      <w:r>
        <w:rPr>
          <w:sz w:val="32"/>
        </w:rPr>
        <w:tab/>
      </w:r>
      <w:r>
        <w:rPr>
          <w:sz w:val="32"/>
        </w:rPr>
        <w:tab/>
        <w:t>.003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1.864</w:t>
      </w:r>
    </w:p>
    <w:p w:rsidR="003722D1" w:rsidRDefault="00B525C0">
      <w:pPr>
        <w:spacing w:line="360" w:lineRule="auto"/>
      </w:pPr>
      <w:r>
        <w:rPr>
          <w:sz w:val="32"/>
        </w:rPr>
        <w:t>Mosaic</w:t>
      </w:r>
      <w:r>
        <w:rPr>
          <w:sz w:val="32"/>
        </w:rPr>
        <w:tab/>
      </w:r>
      <w:r>
        <w:rPr>
          <w:sz w:val="32"/>
        </w:rPr>
        <w:tab/>
        <w:t>-.080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2.814</w:t>
      </w:r>
      <w:r>
        <w:rPr>
          <w:sz w:val="32"/>
        </w:rPr>
        <w:tab/>
      </w:r>
      <w:r>
        <w:rPr>
          <w:sz w:val="32"/>
        </w:rPr>
        <w:tab/>
        <w:t>.093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.923</w:t>
      </w:r>
    </w:p>
    <w:p w:rsidR="003722D1" w:rsidRDefault="00B525C0">
      <w:pPr>
        <w:spacing w:line="360" w:lineRule="auto"/>
      </w:pPr>
      <w:r>
        <w:rPr>
          <w:sz w:val="32"/>
        </w:rPr>
        <w:t>Visual</w:t>
      </w:r>
      <w:r>
        <w:rPr>
          <w:sz w:val="32"/>
        </w:rPr>
        <w:tab/>
      </w:r>
      <w:r>
        <w:rPr>
          <w:sz w:val="32"/>
        </w:rPr>
        <w:tab/>
        <w:t>.271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5.968</w:t>
      </w:r>
      <w:r>
        <w:rPr>
          <w:sz w:val="32"/>
        </w:rPr>
        <w:tab/>
      </w:r>
      <w:r>
        <w:rPr>
          <w:sz w:val="32"/>
        </w:rPr>
        <w:tab/>
        <w:t>.015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1.311</w:t>
      </w:r>
    </w:p>
    <w:p w:rsidR="003722D1" w:rsidRDefault="00B525C0">
      <w:pPr>
        <w:spacing w:line="360" w:lineRule="auto"/>
      </w:pPr>
      <w:r>
        <w:rPr>
          <w:sz w:val="32"/>
        </w:rPr>
        <w:t>SATM</w:t>
      </w:r>
      <w:r>
        <w:rPr>
          <w:sz w:val="32"/>
        </w:rPr>
        <w:tab/>
      </w:r>
      <w:r>
        <w:rPr>
          <w:sz w:val="32"/>
        </w:rPr>
        <w:tab/>
        <w:t>.019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8.482</w:t>
      </w:r>
      <w:r>
        <w:rPr>
          <w:sz w:val="32"/>
        </w:rPr>
        <w:tab/>
      </w:r>
      <w:r>
        <w:rPr>
          <w:sz w:val="32"/>
        </w:rPr>
        <w:tab/>
        <w:t>.004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1.019</w:t>
      </w:r>
    </w:p>
    <w:p w:rsidR="003722D1" w:rsidRDefault="00B525C0">
      <w:pPr>
        <w:spacing w:line="360" w:lineRule="auto"/>
      </w:pPr>
      <w:r>
        <w:rPr>
          <w:sz w:val="32"/>
        </w:rPr>
        <w:t>Competence</w:t>
      </w:r>
      <w:r>
        <w:rPr>
          <w:sz w:val="32"/>
        </w:rPr>
        <w:tab/>
        <w:t>1.689</w:t>
      </w:r>
      <w:r>
        <w:rPr>
          <w:sz w:val="32"/>
        </w:rPr>
        <w:tab/>
      </w:r>
      <w:r>
        <w:rPr>
          <w:sz w:val="32"/>
        </w:rPr>
        <w:tab/>
        <w:t>3.517</w:t>
      </w:r>
      <w:r>
        <w:rPr>
          <w:sz w:val="32"/>
        </w:rPr>
        <w:tab/>
      </w:r>
      <w:r>
        <w:rPr>
          <w:sz w:val="32"/>
        </w:rPr>
        <w:tab/>
        <w:t>.061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5.415</w:t>
      </w:r>
    </w:p>
    <w:p w:rsidR="003722D1" w:rsidRDefault="00B525C0">
      <w:pPr>
        <w:spacing w:line="360" w:lineRule="auto"/>
      </w:pPr>
      <w:r>
        <w:rPr>
          <w:sz w:val="32"/>
        </w:rPr>
        <w:t>Motivation</w:t>
      </w:r>
      <w:r>
        <w:rPr>
          <w:sz w:val="32"/>
        </w:rPr>
        <w:tab/>
      </w:r>
      <w:r>
        <w:rPr>
          <w:sz w:val="32"/>
        </w:rPr>
        <w:tab/>
        <w:t>.550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.719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.397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1.733</w:t>
      </w:r>
    </w:p>
    <w:p w:rsidR="003722D1" w:rsidRDefault="00B525C0">
      <w:pPr>
        <w:spacing w:line="360" w:lineRule="auto"/>
      </w:pPr>
      <w:r>
        <w:rPr>
          <w:sz w:val="32"/>
        </w:rPr>
        <w:t>Constant</w:t>
      </w:r>
      <w:r>
        <w:rPr>
          <w:sz w:val="32"/>
        </w:rPr>
        <w:tab/>
      </w:r>
      <w:r>
        <w:rPr>
          <w:sz w:val="32"/>
        </w:rPr>
        <w:tab/>
        <w:t>-19.189</w:t>
      </w:r>
      <w:r>
        <w:rPr>
          <w:sz w:val="32"/>
        </w:rPr>
        <w:tab/>
      </w:r>
      <w:r>
        <w:rPr>
          <w:sz w:val="32"/>
        </w:rPr>
        <w:tab/>
        <w:t>11.235</w:t>
      </w:r>
      <w:r>
        <w:rPr>
          <w:sz w:val="32"/>
        </w:rPr>
        <w:tab/>
      </w:r>
      <w:r>
        <w:rPr>
          <w:sz w:val="32"/>
        </w:rPr>
        <w:tab/>
        <w:t>.001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.000</w:t>
      </w:r>
    </w:p>
    <w:p w:rsidR="003722D1" w:rsidRDefault="00B525C0">
      <w:pPr>
        <w:spacing w:line="360" w:lineRule="auto"/>
      </w:pPr>
      <w:r>
        <w:rPr>
          <w:sz w:val="32"/>
        </w:rPr>
        <w:t>--------</w:t>
      </w:r>
      <w:r>
        <w:rPr>
          <w:sz w:val="32"/>
        </w:rPr>
        <w:t>---------------------------------------------------------------------------------------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sz w:val="32"/>
        </w:rPr>
        <w:t>From Table 1, it is evident that, of the seven predictors in the full model, only parents’ education, Visualization Test and Scholastic Aptitude Test-Math were statist</w:t>
      </w:r>
      <w:r>
        <w:rPr>
          <w:sz w:val="32"/>
        </w:rPr>
        <w:t>ically significant (at the .05 level) predictors of whether or not students took Algebra 2.  A test of the restricted model, with parents’ education, Visualization Test and Scholastic Aptitude Test-Math as the predictors, was statistically significant: Chi</w:t>
      </w:r>
      <w:r>
        <w:rPr>
          <w:sz w:val="32"/>
        </w:rPr>
        <w:t xml:space="preserve"> Square (3) = 36.971, p = .000.  Nagelkerke R Square = .520, indicating that 52% of the variation in whether or not students take Algebra 2 can be explained by the restricted logistic regression model.  The Hosmer and Lemeshow test indicated that there was</w:t>
      </w:r>
      <w:r>
        <w:rPr>
          <w:sz w:val="32"/>
        </w:rPr>
        <w:t xml:space="preserve"> a linear relationship between the log odds of coronary incidence and age as a predictor variable: p = .720.  Table 2 summarizes the raw score binary logistic regression coefficients, Wald statistics, and the estimated change in odds of taking Algebra 2 fo</w:t>
      </w:r>
      <w:r>
        <w:rPr>
          <w:sz w:val="32"/>
        </w:rPr>
        <w:t>r parents’ education, Visualization Test and Scholastic Aptitude Test-Math scores.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b/>
          <w:sz w:val="32"/>
        </w:rPr>
        <w:t>Table 2</w:t>
      </w:r>
    </w:p>
    <w:p w:rsidR="003722D1" w:rsidRDefault="00B525C0">
      <w:pPr>
        <w:spacing w:line="360" w:lineRule="auto"/>
      </w:pPr>
      <w:r>
        <w:rPr>
          <w:b/>
          <w:sz w:val="32"/>
        </w:rPr>
        <w:t>Restricted Model - Logistic Regression Predicting Whether or Not Students Took Algebra 2 From Parents’ Education, Visualization Test and Scholastic Aptitude Test-Math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</w:t>
      </w:r>
      <w:r>
        <w:rPr>
          <w:sz w:val="32"/>
        </w:rPr>
        <w:t>------</w:t>
      </w:r>
    </w:p>
    <w:p w:rsidR="003722D1" w:rsidRDefault="00B525C0">
      <w:pPr>
        <w:spacing w:line="360" w:lineRule="auto"/>
      </w:pPr>
      <w:r>
        <w:rPr>
          <w:sz w:val="32"/>
        </w:rPr>
        <w:t>Predictor</w:t>
      </w:r>
      <w:r>
        <w:rPr>
          <w:sz w:val="32"/>
        </w:rPr>
        <w:tab/>
      </w:r>
      <w:r>
        <w:rPr>
          <w:sz w:val="32"/>
        </w:rPr>
        <w:tab/>
        <w:t>B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Wald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Odds Ratio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B525C0">
      <w:pPr>
        <w:spacing w:line="360" w:lineRule="auto"/>
      </w:pPr>
      <w:r>
        <w:rPr>
          <w:sz w:val="32"/>
        </w:rPr>
        <w:t>ParEduc</w:t>
      </w:r>
      <w:r>
        <w:rPr>
          <w:sz w:val="32"/>
        </w:rPr>
        <w:tab/>
      </w:r>
      <w:r>
        <w:rPr>
          <w:sz w:val="32"/>
        </w:rPr>
        <w:tab/>
        <w:t>.388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7.400</w:t>
      </w:r>
      <w:r>
        <w:rPr>
          <w:sz w:val="32"/>
        </w:rPr>
        <w:tab/>
      </w:r>
      <w:r>
        <w:rPr>
          <w:sz w:val="32"/>
        </w:rPr>
        <w:tab/>
        <w:t>.007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1.474</w:t>
      </w:r>
    </w:p>
    <w:p w:rsidR="003722D1" w:rsidRDefault="00B525C0">
      <w:pPr>
        <w:spacing w:line="360" w:lineRule="auto"/>
      </w:pPr>
      <w:r>
        <w:rPr>
          <w:sz w:val="32"/>
        </w:rPr>
        <w:t>Visual</w:t>
      </w:r>
      <w:r>
        <w:rPr>
          <w:sz w:val="32"/>
        </w:rPr>
        <w:tab/>
      </w:r>
      <w:r>
        <w:rPr>
          <w:sz w:val="32"/>
        </w:rPr>
        <w:tab/>
        <w:t>.138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3.142</w:t>
      </w:r>
      <w:r>
        <w:rPr>
          <w:sz w:val="32"/>
        </w:rPr>
        <w:tab/>
      </w:r>
      <w:r>
        <w:rPr>
          <w:sz w:val="32"/>
        </w:rPr>
        <w:tab/>
        <w:t>.076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1.148</w:t>
      </w:r>
    </w:p>
    <w:p w:rsidR="003722D1" w:rsidRDefault="00B525C0">
      <w:pPr>
        <w:spacing w:line="360" w:lineRule="auto"/>
      </w:pPr>
      <w:r>
        <w:rPr>
          <w:sz w:val="32"/>
        </w:rPr>
        <w:lastRenderedPageBreak/>
        <w:t>SATM</w:t>
      </w:r>
      <w:r>
        <w:rPr>
          <w:sz w:val="32"/>
        </w:rPr>
        <w:tab/>
      </w:r>
      <w:r>
        <w:rPr>
          <w:sz w:val="32"/>
        </w:rPr>
        <w:tab/>
        <w:t>.016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9.235</w:t>
      </w:r>
      <w:r>
        <w:rPr>
          <w:sz w:val="32"/>
        </w:rPr>
        <w:tab/>
      </w:r>
      <w:r>
        <w:rPr>
          <w:sz w:val="32"/>
        </w:rPr>
        <w:tab/>
        <w:t>.002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1.016</w:t>
      </w:r>
    </w:p>
    <w:p w:rsidR="003722D1" w:rsidRDefault="00B525C0">
      <w:pPr>
        <w:spacing w:line="360" w:lineRule="auto"/>
      </w:pPr>
      <w:r>
        <w:rPr>
          <w:sz w:val="32"/>
        </w:rPr>
        <w:t>Constant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-10.375</w:t>
      </w:r>
      <w:r>
        <w:rPr>
          <w:sz w:val="32"/>
        </w:rPr>
        <w:tab/>
      </w:r>
      <w:r>
        <w:rPr>
          <w:sz w:val="32"/>
        </w:rPr>
        <w:tab/>
        <w:t>14.274</w:t>
      </w:r>
      <w:r>
        <w:rPr>
          <w:sz w:val="32"/>
        </w:rPr>
        <w:tab/>
      </w:r>
      <w:r>
        <w:rPr>
          <w:sz w:val="32"/>
        </w:rPr>
        <w:tab/>
        <w:t>.000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.000</w:t>
      </w:r>
    </w:p>
    <w:p w:rsidR="003722D1" w:rsidRDefault="00B525C0">
      <w:pPr>
        <w:spacing w:line="360" w:lineRule="auto"/>
      </w:pPr>
      <w:r>
        <w:rPr>
          <w:sz w:val="32"/>
        </w:rPr>
        <w:t>-----------------------------------------------------------------------------------------------</w:t>
      </w:r>
    </w:p>
    <w:p w:rsidR="003722D1" w:rsidRDefault="003722D1">
      <w:pPr>
        <w:spacing w:line="360" w:lineRule="auto"/>
      </w:pPr>
    </w:p>
    <w:p w:rsidR="003722D1" w:rsidRDefault="00B525C0">
      <w:pPr>
        <w:spacing w:line="360" w:lineRule="auto"/>
      </w:pPr>
      <w:r>
        <w:rPr>
          <w:sz w:val="32"/>
        </w:rPr>
        <w:t xml:space="preserve">From the above analysis, we can conclude that, first, for every unit increase in parents’ education, the odds of taking Algebra 2 </w:t>
      </w:r>
      <w:r>
        <w:rPr>
          <w:sz w:val="32"/>
        </w:rPr>
        <w:t>increase by 1.474; second, for every unit increase in Visualization Test scores, the odds of taking Algebra 2 increase by 1.148; and third, for every unit increase on the Scholastic Aptitude Test-Math, the odds of taking Algebra 2 increase by 1.016.</w:t>
      </w:r>
    </w:p>
    <w:p w:rsidR="003722D1" w:rsidRDefault="00B525C0">
      <w:pPr>
        <w:spacing w:line="360" w:lineRule="auto"/>
      </w:pPr>
      <w:r>
        <w:rPr>
          <w:sz w:val="32"/>
        </w:rPr>
        <w:t>The lo</w:t>
      </w:r>
      <w:r>
        <w:rPr>
          <w:sz w:val="32"/>
        </w:rPr>
        <w:t>gistic regression equation is as follows:</w:t>
      </w:r>
    </w:p>
    <w:p w:rsidR="003722D1" w:rsidRDefault="00B525C0">
      <w:pPr>
        <w:spacing w:line="360" w:lineRule="auto"/>
        <w:ind w:left="720"/>
      </w:pPr>
      <w:r>
        <w:rPr>
          <w:sz w:val="32"/>
        </w:rPr>
        <w:t>Log Odds (Algebra 2) = -10.375 + (0.388Parents’ Education) + (0.138 Visualization) + (0.016 Scholastic Aptitude Test-Math)</w:t>
      </w:r>
    </w:p>
    <w:p w:rsidR="003722D1" w:rsidRDefault="00B525C0">
      <w:pPr>
        <w:spacing w:line="360" w:lineRule="auto"/>
      </w:pPr>
      <w:r>
        <w:rPr>
          <w:sz w:val="32"/>
        </w:rPr>
        <w:t>Furthermore, univariate analysis indicated that there was a statistically significant diffe</w:t>
      </w:r>
      <w:r>
        <w:rPr>
          <w:sz w:val="32"/>
        </w:rPr>
        <w:t>rence (t</w:t>
      </w:r>
      <w:r>
        <w:rPr>
          <w:sz w:val="26"/>
        </w:rPr>
        <w:t>(73)</w:t>
      </w:r>
      <w:r>
        <w:rPr>
          <w:sz w:val="32"/>
        </w:rPr>
        <w:t xml:space="preserve"> = -3.832, p = .000) in parents’ education of those students who did not take Algebra 2 (M = 3.513, SD = 1.689) as compared with those students who did (M = 5.400, SD = 2.540); that those students who did not take Algebra 2 had significantly lo</w:t>
      </w:r>
      <w:r>
        <w:rPr>
          <w:sz w:val="32"/>
        </w:rPr>
        <w:t>wer visualization test scores (M = 3.894, SD = 3.421) than those who did (M = 6.786, SD = 3.910), t</w:t>
      </w:r>
      <w:r>
        <w:rPr>
          <w:sz w:val="26"/>
        </w:rPr>
        <w:t>(73)</w:t>
      </w:r>
      <w:r>
        <w:rPr>
          <w:sz w:val="32"/>
        </w:rPr>
        <w:t xml:space="preserve"> = -3.416, p = .001; and that those students who did not take Algebra 2 had significantly lower Scholastic Aptitude Test-Math scores (M = 445.50, SD = 78</w:t>
      </w:r>
      <w:r>
        <w:rPr>
          <w:sz w:val="32"/>
        </w:rPr>
        <w:t>.281) than those who did (M = 542.00, SD = 85.536),  t(73) =  -5.070, p = .000.</w:t>
      </w:r>
    </w:p>
    <w:sectPr w:rsidR="003722D1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722D1"/>
    <w:rsid w:val="003722D1"/>
    <w:rsid w:val="00B5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Logistic Regression.doc.docx</vt:lpstr>
    </vt:vector>
  </TitlesOfParts>
  <Company>Andrews University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Logistic Regression.doc.docx</dc:title>
  <dc:creator>Lea M Danihelova</dc:creator>
  <cp:lastModifiedBy>Lea M Danihelova</cp:lastModifiedBy>
  <cp:revision>2</cp:revision>
  <dcterms:created xsi:type="dcterms:W3CDTF">2013-07-30T13:01:00Z</dcterms:created>
  <dcterms:modified xsi:type="dcterms:W3CDTF">2013-07-30T13:01:00Z</dcterms:modified>
</cp:coreProperties>
</file>